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4BB9" w14:textId="77777777" w:rsidR="005C6E18" w:rsidRPr="00FB5145" w:rsidRDefault="006517C9" w:rsidP="00FD40BD">
      <w:pPr>
        <w:jc w:val="center"/>
        <w:rPr>
          <w:sz w:val="32"/>
          <w:szCs w:val="40"/>
        </w:rPr>
      </w:pPr>
      <w:r w:rsidRPr="00FB5145">
        <w:rPr>
          <w:b/>
          <w:color w:val="C00000"/>
          <w:sz w:val="36"/>
          <w:szCs w:val="40"/>
        </w:rPr>
        <w:t>[Facility Logo]</w:t>
      </w:r>
    </w:p>
    <w:p w14:paraId="2759B247" w14:textId="77777777" w:rsidR="001A5BC3" w:rsidRDefault="001A5BC3" w:rsidP="00FB5145">
      <w:pPr>
        <w:spacing w:after="60" w:line="240" w:lineRule="auto"/>
        <w:jc w:val="center"/>
        <w:rPr>
          <w:b/>
          <w:sz w:val="24"/>
          <w:szCs w:val="28"/>
        </w:rPr>
      </w:pPr>
      <w:r w:rsidRPr="004423C0">
        <w:rPr>
          <w:b/>
          <w:sz w:val="24"/>
          <w:szCs w:val="28"/>
        </w:rPr>
        <w:t xml:space="preserve">Antibiotic Susceptibility Report for Most </w:t>
      </w:r>
      <w:r w:rsidR="004F7239">
        <w:rPr>
          <w:b/>
          <w:sz w:val="24"/>
          <w:szCs w:val="28"/>
        </w:rPr>
        <w:t>Frequently</w:t>
      </w:r>
      <w:r w:rsidRPr="004423C0">
        <w:rPr>
          <w:b/>
          <w:sz w:val="24"/>
          <w:szCs w:val="28"/>
        </w:rPr>
        <w:t xml:space="preserve"> Isolated </w:t>
      </w:r>
      <w:r w:rsidR="00FD40BD">
        <w:rPr>
          <w:b/>
          <w:sz w:val="24"/>
          <w:szCs w:val="28"/>
        </w:rPr>
        <w:t>Gram-Negative Organisms</w:t>
      </w:r>
      <w:r w:rsidR="00212406">
        <w:rPr>
          <w:b/>
          <w:sz w:val="24"/>
          <w:szCs w:val="28"/>
        </w:rPr>
        <w:t xml:space="preserve"> (</w:t>
      </w:r>
      <w:r w:rsidRPr="004423C0">
        <w:rPr>
          <w:b/>
          <w:sz w:val="24"/>
          <w:szCs w:val="28"/>
        </w:rPr>
        <w:t>January 2015 to December 2016</w:t>
      </w:r>
      <w:r w:rsidR="00212406">
        <w:rPr>
          <w:b/>
          <w:sz w:val="24"/>
          <w:szCs w:val="28"/>
        </w:rPr>
        <w:t>)</w:t>
      </w:r>
    </w:p>
    <w:tbl>
      <w:tblPr>
        <w:tblStyle w:val="TableGrid"/>
        <w:tblW w:w="13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4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50"/>
      </w:tblGrid>
      <w:tr w:rsidR="0064651E" w:rsidRPr="00FD4B37" w14:paraId="5146EA0A" w14:textId="77777777" w:rsidTr="00BE289F">
        <w:trPr>
          <w:trHeight w:val="116"/>
          <w:jc w:val="center"/>
        </w:trPr>
        <w:tc>
          <w:tcPr>
            <w:tcW w:w="216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191EDE" w14:textId="77777777" w:rsidR="0064651E" w:rsidRPr="00B06D8F" w:rsidRDefault="0064651E" w:rsidP="00BE289F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Pathogen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59C1F2A7" w14:textId="77777777" w:rsidR="0064651E" w:rsidRPr="00B06D8F" w:rsidRDefault="0064651E" w:rsidP="00BE289F">
            <w:pPr>
              <w:ind w:left="113" w:right="113"/>
              <w:rPr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Isolate Tested</w:t>
            </w:r>
          </w:p>
        </w:tc>
        <w:tc>
          <w:tcPr>
            <w:tcW w:w="10983" w:type="dxa"/>
            <w:gridSpan w:val="20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0086DFDE" w14:textId="77777777" w:rsidR="0064651E" w:rsidRPr="00B06D8F" w:rsidRDefault="0064651E" w:rsidP="00BE289F">
            <w:pPr>
              <w:jc w:val="center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Percent Susceptible</w:t>
            </w:r>
          </w:p>
        </w:tc>
      </w:tr>
      <w:tr w:rsidR="0064651E" w:rsidRPr="00FD4B37" w14:paraId="3C916712" w14:textId="77777777" w:rsidTr="00BE289F">
        <w:trPr>
          <w:cantSplit/>
          <w:trHeight w:val="2069"/>
          <w:jc w:val="center"/>
        </w:trPr>
        <w:tc>
          <w:tcPr>
            <w:tcW w:w="21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8D69C9" w14:textId="77777777" w:rsidR="0064651E" w:rsidRPr="00B06D8F" w:rsidRDefault="0064651E" w:rsidP="00BE289F">
            <w:pPr>
              <w:spacing w:line="360" w:lineRule="auto"/>
              <w:rPr>
                <w:b/>
                <w:sz w:val="18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54201564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6DE18134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Ampicillin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7F26ACF6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Ampicillin/Sulbactam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09C649FD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Piperacillin/Tazobactam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171122B0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Cefazolin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076C8120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Cefepime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68A24B2A" w14:textId="77777777" w:rsidR="0064651E" w:rsidRPr="00B06D8F" w:rsidRDefault="0064651E" w:rsidP="0064651E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Cef</w:t>
            </w:r>
            <w:r>
              <w:rPr>
                <w:b/>
                <w:sz w:val="18"/>
                <w:szCs w:val="16"/>
              </w:rPr>
              <w:t>oxitin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352A8059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Ceftazidime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3A8A9400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Ceftriaxone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715C8A48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Cefuroxime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0631D489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Aztreonam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40B3404B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Ertapenem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37B663C0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Meropenem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6B1D82CE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Amikacin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663012AB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Gentamicin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5D491172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Tobramycin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572F2EC2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Ciprofloxacin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4821BB57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Levofloxacin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511CE3E7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Trimethoprim/Sulfa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5C5FF2F4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 w:rsidRPr="00B06D8F">
              <w:rPr>
                <w:b/>
                <w:sz w:val="18"/>
                <w:szCs w:val="16"/>
              </w:rPr>
              <w:t>Nitrofurantoin</w:t>
            </w:r>
            <w:r>
              <w:rPr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67F852E7" w14:textId="77777777" w:rsidR="0064651E" w:rsidRPr="00B06D8F" w:rsidRDefault="0064651E" w:rsidP="00BE289F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Tetracycline</w:t>
            </w:r>
          </w:p>
        </w:tc>
      </w:tr>
      <w:tr w:rsidR="0064651E" w:rsidRPr="00FD4B37" w14:paraId="516248E5" w14:textId="77777777" w:rsidTr="00BE289F">
        <w:trPr>
          <w:trHeight w:val="288"/>
          <w:jc w:val="center"/>
        </w:trPr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312C00BF" w14:textId="77777777" w:rsidR="0064651E" w:rsidRPr="00B06D8F" w:rsidRDefault="0064651E" w:rsidP="00BE289F">
            <w:pPr>
              <w:rPr>
                <w:b/>
                <w:i/>
                <w:sz w:val="16"/>
                <w:szCs w:val="16"/>
              </w:rPr>
            </w:pPr>
            <w:r w:rsidRPr="00B06D8F">
              <w:rPr>
                <w:b/>
                <w:i/>
                <w:sz w:val="18"/>
                <w:szCs w:val="16"/>
              </w:rPr>
              <w:t>Escherichia coli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02565C0" w14:textId="77777777" w:rsidR="0064651E" w:rsidRPr="004423C0" w:rsidRDefault="0064651E" w:rsidP="00BE289F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111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5BD195E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28301D8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6EA8366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99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DBFC848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86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1733F08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D45FDAE" w14:textId="77777777"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92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121EC02" w14:textId="77777777"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D67BC80" w14:textId="77777777"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97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FB7680B" w14:textId="77777777"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91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A1F5D43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049C980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9C41E80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3D2D6AA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A81FA25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91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76634BC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91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701DB3A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58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D440C1F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59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91E91C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76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6A8CDEF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99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4F11FEB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77</w:t>
            </w:r>
          </w:p>
        </w:tc>
      </w:tr>
      <w:tr w:rsidR="0064651E" w:rsidRPr="00FD4B37" w14:paraId="4A6E4BF7" w14:textId="77777777" w:rsidTr="00BE289F">
        <w:trPr>
          <w:trHeight w:val="288"/>
          <w:jc w:val="center"/>
        </w:trPr>
        <w:tc>
          <w:tcPr>
            <w:tcW w:w="2160" w:type="dxa"/>
            <w:vAlign w:val="center"/>
          </w:tcPr>
          <w:p w14:paraId="429360D1" w14:textId="77777777" w:rsidR="0064651E" w:rsidRPr="00B06D8F" w:rsidRDefault="0064651E" w:rsidP="00BE289F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Klebsiella pneumoniae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vAlign w:val="center"/>
          </w:tcPr>
          <w:p w14:paraId="2AF613C9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41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3D61C20A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6A5DC010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299E1C20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31A9CA32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93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59BEC072" w14:textId="77777777"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05E9BEEB" w14:textId="77777777"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734DE741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0EAD9710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3488EA66" w14:textId="77777777" w:rsidR="0064651E" w:rsidRPr="00B06D8F" w:rsidRDefault="0064651E" w:rsidP="006465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93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14:paraId="03951DA1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0A9E6369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79587647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51BE7867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131DF5F1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14:paraId="7F70CEF3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25C04D85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5D6AA9ED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6005D54B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93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5AD4832C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63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14:paraId="25B92287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83</w:t>
            </w:r>
          </w:p>
        </w:tc>
      </w:tr>
      <w:tr w:rsidR="0064651E" w:rsidRPr="00FD4B37" w14:paraId="04B4A582" w14:textId="77777777" w:rsidTr="00BE289F">
        <w:trPr>
          <w:trHeight w:val="288"/>
          <w:jc w:val="center"/>
        </w:trPr>
        <w:tc>
          <w:tcPr>
            <w:tcW w:w="2160" w:type="dxa"/>
            <w:vAlign w:val="center"/>
          </w:tcPr>
          <w:p w14:paraId="0465220B" w14:textId="77777777" w:rsidR="0064651E" w:rsidRPr="00B06D8F" w:rsidRDefault="0064651E" w:rsidP="00BE289F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Proteus mirabilis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vAlign w:val="center"/>
          </w:tcPr>
          <w:p w14:paraId="36D7B545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41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0C51F787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3F91B941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547CC9D4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5257B457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09AE3DC8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7C84E2C4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10FC737D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3FE746AC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268EFA2B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14:paraId="56201A9D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28A9CE75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156214AE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6EC01732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5A46DE03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14:paraId="6BBFF4E0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3E2222C5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3E9CC0E6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1EA10F86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23DD4499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14:paraId="7A9D6EE8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75</w:t>
            </w:r>
          </w:p>
        </w:tc>
      </w:tr>
      <w:tr w:rsidR="0064651E" w:rsidRPr="00FD4B37" w14:paraId="58EBE7C7" w14:textId="77777777" w:rsidTr="00BE289F">
        <w:trPr>
          <w:trHeight w:val="288"/>
          <w:jc w:val="center"/>
        </w:trPr>
        <w:tc>
          <w:tcPr>
            <w:tcW w:w="2160" w:type="dxa"/>
            <w:vAlign w:val="center"/>
          </w:tcPr>
          <w:p w14:paraId="213E1D02" w14:textId="77777777" w:rsidR="0064651E" w:rsidRPr="00B06D8F" w:rsidRDefault="0064651E" w:rsidP="00BE289F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Pseudomonas aeruginosa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vAlign w:val="center"/>
          </w:tcPr>
          <w:p w14:paraId="66EB92B7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76687123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1FC932D2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04AF535F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97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551E1603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7E3F5B42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97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5F9D01F0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256043E8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97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7919EE73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72DDA371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14:paraId="3BD41505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84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52373B1B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2BE34FEE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4A7E1E20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63568219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74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14:paraId="08C9D612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77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422633FA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71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4EA4C394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71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21EFE2BA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49" w:type="dxa"/>
            <w:tcMar>
              <w:left w:w="72" w:type="dxa"/>
              <w:right w:w="72" w:type="dxa"/>
            </w:tcMar>
            <w:vAlign w:val="center"/>
          </w:tcPr>
          <w:p w14:paraId="0AD9CADF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550" w:type="dxa"/>
            <w:tcMar>
              <w:left w:w="72" w:type="dxa"/>
              <w:right w:w="72" w:type="dxa"/>
            </w:tcMar>
            <w:vAlign w:val="center"/>
          </w:tcPr>
          <w:p w14:paraId="6048838F" w14:textId="77777777" w:rsidR="0064651E" w:rsidRPr="00B06D8F" w:rsidRDefault="0064651E" w:rsidP="00BE28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</w:tr>
    </w:tbl>
    <w:p w14:paraId="6D27AD88" w14:textId="77777777" w:rsidR="00FD4B37" w:rsidRPr="00B06D8F" w:rsidRDefault="00580121" w:rsidP="0064651E">
      <w:pPr>
        <w:spacing w:after="120" w:line="276" w:lineRule="auto"/>
        <w:ind w:left="-360"/>
        <w:rPr>
          <w:sz w:val="14"/>
        </w:rPr>
      </w:pPr>
      <w:r>
        <w:rPr>
          <w:sz w:val="16"/>
        </w:rPr>
        <w:t>-- Denotes organism has intrinsic resistance to this antimicrobial</w:t>
      </w:r>
      <w:r w:rsidR="007121AE">
        <w:rPr>
          <w:sz w:val="16"/>
        </w:rPr>
        <w:tab/>
      </w:r>
      <w:r w:rsidR="007121AE">
        <w:rPr>
          <w:sz w:val="16"/>
        </w:rPr>
        <w:tab/>
      </w:r>
      <w:r w:rsidR="0064651E">
        <w:rPr>
          <w:sz w:val="16"/>
        </w:rPr>
        <w:br/>
      </w:r>
      <w:r>
        <w:rPr>
          <w:sz w:val="16"/>
        </w:rPr>
        <w:t>1</w:t>
      </w:r>
      <w:r w:rsidR="004423C0">
        <w:rPr>
          <w:sz w:val="16"/>
        </w:rPr>
        <w:t xml:space="preserve">. </w:t>
      </w:r>
      <w:r>
        <w:rPr>
          <w:sz w:val="16"/>
        </w:rPr>
        <w:t>Nitrofurantoin is reported for urine sources only</w:t>
      </w:r>
    </w:p>
    <w:p w14:paraId="26393E5B" w14:textId="77777777" w:rsidR="004423C0" w:rsidRPr="00FB5145" w:rsidRDefault="004423C0" w:rsidP="004423C0">
      <w:pPr>
        <w:spacing w:after="120" w:line="276" w:lineRule="auto"/>
        <w:rPr>
          <w:b/>
          <w:i/>
          <w:sz w:val="20"/>
        </w:rPr>
      </w:pPr>
      <w:r w:rsidRPr="00FB5145">
        <w:rPr>
          <w:b/>
          <w:i/>
          <w:sz w:val="20"/>
        </w:rPr>
        <w:t>Summary</w:t>
      </w:r>
      <w:r w:rsidR="00580121">
        <w:rPr>
          <w:b/>
          <w:i/>
          <w:sz w:val="20"/>
        </w:rPr>
        <w:t xml:space="preserve"> for Gram</w:t>
      </w:r>
      <w:r w:rsidR="007121AE">
        <w:rPr>
          <w:b/>
          <w:i/>
          <w:sz w:val="20"/>
        </w:rPr>
        <w:t>-</w:t>
      </w:r>
      <w:r w:rsidR="00580121">
        <w:rPr>
          <w:b/>
          <w:i/>
          <w:sz w:val="20"/>
        </w:rPr>
        <w:t>Negative Organisms</w:t>
      </w:r>
    </w:p>
    <w:p w14:paraId="7D19FDF3" w14:textId="77777777" w:rsidR="001A5BC3" w:rsidRPr="00FB5145" w:rsidRDefault="00FD40BD" w:rsidP="008078E8">
      <w:pPr>
        <w:spacing w:after="120" w:line="276" w:lineRule="auto"/>
        <w:rPr>
          <w:sz w:val="20"/>
        </w:rPr>
      </w:pPr>
      <w:r w:rsidRPr="00FB5145">
        <w:rPr>
          <w:sz w:val="20"/>
        </w:rPr>
        <w:t xml:space="preserve">During the 2-year period between January 2015 and December 2016, a total of </w:t>
      </w:r>
      <w:r>
        <w:rPr>
          <w:sz w:val="20"/>
        </w:rPr>
        <w:t>111</w:t>
      </w:r>
      <w:r w:rsidRPr="00FB5145">
        <w:rPr>
          <w:sz w:val="20"/>
        </w:rPr>
        <w:t xml:space="preserve"> </w:t>
      </w:r>
      <w:r w:rsidRPr="00FB5145">
        <w:rPr>
          <w:i/>
          <w:sz w:val="20"/>
        </w:rPr>
        <w:t>E coli</w:t>
      </w:r>
      <w:r w:rsidRPr="00FB5145">
        <w:rPr>
          <w:sz w:val="20"/>
        </w:rPr>
        <w:t xml:space="preserve"> were i</w:t>
      </w:r>
      <w:r>
        <w:rPr>
          <w:sz w:val="20"/>
        </w:rPr>
        <w:t>dentified</w:t>
      </w:r>
      <w:r w:rsidRPr="00FB5145">
        <w:rPr>
          <w:sz w:val="20"/>
        </w:rPr>
        <w:t>, making it the most commonly identified</w:t>
      </w:r>
      <w:r w:rsidR="008078E8">
        <w:rPr>
          <w:sz w:val="20"/>
        </w:rPr>
        <w:t xml:space="preserve"> Gram-negative</w:t>
      </w:r>
      <w:r w:rsidRPr="00FB5145">
        <w:rPr>
          <w:sz w:val="20"/>
        </w:rPr>
        <w:t xml:space="preserve"> pathogen.  Antibiotic susceptibility of these </w:t>
      </w:r>
      <w:r w:rsidRPr="00FB5145">
        <w:rPr>
          <w:i/>
          <w:sz w:val="20"/>
        </w:rPr>
        <w:t>E coli can be summarized as follow:</w:t>
      </w:r>
      <w:r w:rsidR="004423C0" w:rsidRPr="00FB5145">
        <w:rPr>
          <w:sz w:val="20"/>
        </w:rPr>
        <w:t xml:space="preserve"> </w:t>
      </w:r>
    </w:p>
    <w:p w14:paraId="69304BC3" w14:textId="77777777" w:rsidR="004423C0" w:rsidRPr="00FB5145" w:rsidRDefault="004423C0" w:rsidP="004423C0">
      <w:pPr>
        <w:pStyle w:val="ListParagraph"/>
        <w:numPr>
          <w:ilvl w:val="0"/>
          <w:numId w:val="2"/>
        </w:numPr>
        <w:spacing w:after="120" w:line="276" w:lineRule="auto"/>
        <w:rPr>
          <w:sz w:val="20"/>
        </w:rPr>
      </w:pPr>
      <w:r w:rsidRPr="00FB5145">
        <w:rPr>
          <w:sz w:val="20"/>
        </w:rPr>
        <w:t xml:space="preserve">Oral antibiotics with the </w:t>
      </w:r>
      <w:r w:rsidRPr="00FB5145">
        <w:rPr>
          <w:b/>
          <w:i/>
          <w:sz w:val="20"/>
        </w:rPr>
        <w:t>highest</w:t>
      </w:r>
      <w:r w:rsidRPr="00FB5145">
        <w:rPr>
          <w:sz w:val="20"/>
        </w:rPr>
        <w:t xml:space="preserve"> susceptibilities (in descending order) were:</w:t>
      </w:r>
    </w:p>
    <w:p w14:paraId="7CD754AC" w14:textId="77777777" w:rsidR="004423C0" w:rsidRPr="00FB5145" w:rsidRDefault="004423C0" w:rsidP="004423C0">
      <w:pPr>
        <w:pStyle w:val="ListParagraph"/>
        <w:numPr>
          <w:ilvl w:val="1"/>
          <w:numId w:val="2"/>
        </w:numPr>
        <w:spacing w:after="120" w:line="276" w:lineRule="auto"/>
        <w:rPr>
          <w:sz w:val="20"/>
        </w:rPr>
      </w:pPr>
      <w:r w:rsidRPr="00FB5145">
        <w:rPr>
          <w:sz w:val="20"/>
        </w:rPr>
        <w:t>Nitrofurantoin (9</w:t>
      </w:r>
      <w:r w:rsidR="00FD40BD">
        <w:rPr>
          <w:sz w:val="20"/>
        </w:rPr>
        <w:t>9</w:t>
      </w:r>
      <w:r w:rsidRPr="00FB5145">
        <w:rPr>
          <w:sz w:val="20"/>
        </w:rPr>
        <w:t>%)</w:t>
      </w:r>
    </w:p>
    <w:p w14:paraId="6BD84CB5" w14:textId="77777777" w:rsidR="004423C0" w:rsidRPr="00FB5145" w:rsidRDefault="004423C0" w:rsidP="004423C0">
      <w:pPr>
        <w:pStyle w:val="ListParagraph"/>
        <w:numPr>
          <w:ilvl w:val="1"/>
          <w:numId w:val="2"/>
        </w:numPr>
        <w:spacing w:after="120" w:line="276" w:lineRule="auto"/>
        <w:rPr>
          <w:sz w:val="20"/>
        </w:rPr>
      </w:pPr>
      <w:r w:rsidRPr="00FB5145">
        <w:rPr>
          <w:sz w:val="20"/>
        </w:rPr>
        <w:t>Cefuroxime (</w:t>
      </w:r>
      <w:r w:rsidR="00FD40BD">
        <w:rPr>
          <w:sz w:val="20"/>
        </w:rPr>
        <w:t>91</w:t>
      </w:r>
      <w:r w:rsidRPr="00FB5145">
        <w:rPr>
          <w:sz w:val="20"/>
        </w:rPr>
        <w:t>%)</w:t>
      </w:r>
    </w:p>
    <w:p w14:paraId="6403B044" w14:textId="77777777" w:rsidR="004423C0" w:rsidRPr="00FB5145" w:rsidRDefault="00FD40BD" w:rsidP="004423C0">
      <w:pPr>
        <w:pStyle w:val="ListParagraph"/>
        <w:numPr>
          <w:ilvl w:val="1"/>
          <w:numId w:val="2"/>
        </w:numPr>
        <w:spacing w:after="120" w:line="276" w:lineRule="auto"/>
        <w:rPr>
          <w:sz w:val="20"/>
        </w:rPr>
      </w:pPr>
      <w:r>
        <w:rPr>
          <w:sz w:val="20"/>
        </w:rPr>
        <w:t>Cephalexin</w:t>
      </w:r>
      <w:r w:rsidR="004423C0" w:rsidRPr="00FB5145">
        <w:rPr>
          <w:sz w:val="20"/>
        </w:rPr>
        <w:t xml:space="preserve"> (</w:t>
      </w:r>
      <w:r>
        <w:rPr>
          <w:sz w:val="20"/>
        </w:rPr>
        <w:t>86</w:t>
      </w:r>
      <w:r w:rsidR="004423C0" w:rsidRPr="00FB5145">
        <w:rPr>
          <w:sz w:val="20"/>
        </w:rPr>
        <w:t>%</w:t>
      </w:r>
      <w:r>
        <w:rPr>
          <w:sz w:val="20"/>
        </w:rPr>
        <w:t>, as indicated by cefazolin susceptibility</w:t>
      </w:r>
      <w:r w:rsidR="004423C0" w:rsidRPr="00FB5145">
        <w:rPr>
          <w:sz w:val="20"/>
        </w:rPr>
        <w:t>)</w:t>
      </w:r>
    </w:p>
    <w:p w14:paraId="7C8E0BEC" w14:textId="77777777" w:rsidR="004423C0" w:rsidRPr="00FB5145" w:rsidRDefault="00FD40BD" w:rsidP="004423C0">
      <w:pPr>
        <w:pStyle w:val="ListParagraph"/>
        <w:numPr>
          <w:ilvl w:val="1"/>
          <w:numId w:val="2"/>
        </w:numPr>
        <w:spacing w:after="120" w:line="276" w:lineRule="auto"/>
        <w:rPr>
          <w:sz w:val="20"/>
        </w:rPr>
      </w:pPr>
      <w:r>
        <w:rPr>
          <w:sz w:val="20"/>
        </w:rPr>
        <w:t>Trimethoprim/sulfamethoxazole</w:t>
      </w:r>
      <w:r w:rsidR="00FB5145" w:rsidRPr="00FB5145">
        <w:rPr>
          <w:sz w:val="20"/>
        </w:rPr>
        <w:t xml:space="preserve"> (7</w:t>
      </w:r>
      <w:r>
        <w:rPr>
          <w:sz w:val="20"/>
        </w:rPr>
        <w:t>6</w:t>
      </w:r>
      <w:r w:rsidR="00FB5145" w:rsidRPr="00FB5145">
        <w:rPr>
          <w:sz w:val="20"/>
        </w:rPr>
        <w:t>%)</w:t>
      </w:r>
    </w:p>
    <w:p w14:paraId="706C5A29" w14:textId="77777777" w:rsidR="00FB5145" w:rsidRPr="00FB5145" w:rsidRDefault="00FB5145" w:rsidP="00FB5145">
      <w:pPr>
        <w:pStyle w:val="ListParagraph"/>
        <w:spacing w:after="120" w:line="276" w:lineRule="auto"/>
        <w:ind w:left="360"/>
        <w:rPr>
          <w:sz w:val="20"/>
        </w:rPr>
      </w:pPr>
      <w:r w:rsidRPr="00FB5145">
        <w:rPr>
          <w:sz w:val="20"/>
        </w:rPr>
        <w:t xml:space="preserve"> </w:t>
      </w:r>
    </w:p>
    <w:p w14:paraId="07CBD9CC" w14:textId="77777777" w:rsidR="00FB5145" w:rsidRPr="00FB5145" w:rsidRDefault="00FB5145" w:rsidP="00FB5145">
      <w:pPr>
        <w:pStyle w:val="ListParagraph"/>
        <w:numPr>
          <w:ilvl w:val="0"/>
          <w:numId w:val="2"/>
        </w:numPr>
        <w:spacing w:after="120" w:line="276" w:lineRule="auto"/>
        <w:rPr>
          <w:sz w:val="20"/>
        </w:rPr>
      </w:pPr>
      <w:r w:rsidRPr="00FB5145">
        <w:rPr>
          <w:sz w:val="20"/>
        </w:rPr>
        <w:t>Susceptibilities of antibiotics available only in intravenous formulation (e.g., ceftriaxone) exceed 90%, except:</w:t>
      </w:r>
    </w:p>
    <w:p w14:paraId="326F272D" w14:textId="77777777" w:rsidR="00FB5145" w:rsidRPr="00FB5145" w:rsidRDefault="00FB5145" w:rsidP="00FB5145">
      <w:pPr>
        <w:pStyle w:val="ListParagraph"/>
        <w:numPr>
          <w:ilvl w:val="1"/>
          <w:numId w:val="2"/>
        </w:numPr>
        <w:spacing w:after="120" w:line="276" w:lineRule="auto"/>
        <w:rPr>
          <w:sz w:val="20"/>
        </w:rPr>
      </w:pPr>
      <w:r w:rsidRPr="00FB5145">
        <w:rPr>
          <w:sz w:val="20"/>
        </w:rPr>
        <w:t>Ampicillin/sulbactam (5</w:t>
      </w:r>
      <w:r w:rsidR="00FD40BD">
        <w:rPr>
          <w:sz w:val="20"/>
        </w:rPr>
        <w:t>9</w:t>
      </w:r>
      <w:r w:rsidRPr="00FB5145">
        <w:rPr>
          <w:sz w:val="20"/>
        </w:rPr>
        <w:t>%)</w:t>
      </w:r>
    </w:p>
    <w:p w14:paraId="6D3EA86F" w14:textId="77777777" w:rsidR="00FB5145" w:rsidRPr="00FB5145" w:rsidRDefault="00FB5145" w:rsidP="00FB5145">
      <w:pPr>
        <w:pStyle w:val="ListParagraph"/>
        <w:numPr>
          <w:ilvl w:val="1"/>
          <w:numId w:val="2"/>
        </w:numPr>
        <w:spacing w:after="120" w:line="276" w:lineRule="auto"/>
        <w:rPr>
          <w:sz w:val="20"/>
        </w:rPr>
      </w:pPr>
      <w:r w:rsidRPr="00FB5145">
        <w:rPr>
          <w:sz w:val="20"/>
        </w:rPr>
        <w:t>Cefazolin (</w:t>
      </w:r>
      <w:r w:rsidR="00FD40BD">
        <w:rPr>
          <w:sz w:val="20"/>
        </w:rPr>
        <w:t>86</w:t>
      </w:r>
      <w:r w:rsidRPr="00FB5145">
        <w:rPr>
          <w:sz w:val="20"/>
        </w:rPr>
        <w:t>%)</w:t>
      </w:r>
    </w:p>
    <w:p w14:paraId="17D0A848" w14:textId="77777777" w:rsidR="00FB5145" w:rsidRDefault="00FB5145" w:rsidP="00FB5145">
      <w:pPr>
        <w:spacing w:after="120" w:line="276" w:lineRule="auto"/>
        <w:rPr>
          <w:i/>
          <w:sz w:val="20"/>
        </w:rPr>
      </w:pPr>
      <w:r w:rsidRPr="00B520A9">
        <w:rPr>
          <w:i/>
          <w:sz w:val="20"/>
        </w:rPr>
        <w:t xml:space="preserve">Antibiotic susceptibility data </w:t>
      </w:r>
      <w:r w:rsidR="009B6261">
        <w:rPr>
          <w:i/>
          <w:sz w:val="20"/>
        </w:rPr>
        <w:t>can be</w:t>
      </w:r>
      <w:r w:rsidR="00B520A9">
        <w:rPr>
          <w:i/>
          <w:sz w:val="20"/>
        </w:rPr>
        <w:t xml:space="preserve"> useful </w:t>
      </w:r>
      <w:r w:rsidRPr="00B520A9">
        <w:rPr>
          <w:i/>
          <w:sz w:val="20"/>
        </w:rPr>
        <w:t>for guiding selection of empiric antibiotic therapy for residents in whom culture and susceptibility data from the past few months are not available.</w:t>
      </w:r>
    </w:p>
    <w:p w14:paraId="3AD492AC" w14:textId="77777777" w:rsidR="00FD40BD" w:rsidRPr="004423C0" w:rsidRDefault="00FD40BD" w:rsidP="00FD40BD">
      <w:pPr>
        <w:spacing w:after="60" w:line="240" w:lineRule="auto"/>
        <w:jc w:val="center"/>
        <w:rPr>
          <w:b/>
          <w:sz w:val="24"/>
          <w:szCs w:val="28"/>
        </w:rPr>
      </w:pPr>
      <w:r w:rsidRPr="004423C0">
        <w:rPr>
          <w:b/>
          <w:sz w:val="24"/>
          <w:szCs w:val="28"/>
        </w:rPr>
        <w:lastRenderedPageBreak/>
        <w:t xml:space="preserve">Antibiotic Susceptibility Report for Most </w:t>
      </w:r>
      <w:r w:rsidR="004F7239">
        <w:rPr>
          <w:b/>
          <w:sz w:val="24"/>
          <w:szCs w:val="28"/>
        </w:rPr>
        <w:t>Frequently</w:t>
      </w:r>
      <w:r w:rsidRPr="004423C0">
        <w:rPr>
          <w:b/>
          <w:sz w:val="24"/>
          <w:szCs w:val="28"/>
        </w:rPr>
        <w:t xml:space="preserve"> Isolated </w:t>
      </w:r>
      <w:r>
        <w:rPr>
          <w:b/>
          <w:sz w:val="24"/>
          <w:szCs w:val="28"/>
        </w:rPr>
        <w:t>Gram-Positive Organisms (</w:t>
      </w:r>
      <w:r w:rsidRPr="004423C0">
        <w:rPr>
          <w:b/>
          <w:sz w:val="24"/>
          <w:szCs w:val="28"/>
        </w:rPr>
        <w:t>January 2015 to December 2016</w:t>
      </w:r>
      <w:r>
        <w:rPr>
          <w:b/>
          <w:sz w:val="24"/>
          <w:szCs w:val="28"/>
        </w:rPr>
        <w:t>)</w:t>
      </w:r>
    </w:p>
    <w:tbl>
      <w:tblPr>
        <w:tblStyle w:val="TableGrid"/>
        <w:tblW w:w="128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120E3" w:rsidRPr="00FD4B37" w14:paraId="602BF829" w14:textId="77777777" w:rsidTr="00D86944">
        <w:trPr>
          <w:trHeight w:val="116"/>
        </w:trPr>
        <w:tc>
          <w:tcPr>
            <w:tcW w:w="306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0B9306" w14:textId="77777777" w:rsidR="000120E3" w:rsidRPr="00B06D8F" w:rsidRDefault="000120E3" w:rsidP="00145EC1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Pathogen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3F140C0B" w14:textId="77777777" w:rsidR="000120E3" w:rsidRPr="00B06D8F" w:rsidRDefault="000120E3" w:rsidP="00145EC1">
            <w:pPr>
              <w:ind w:left="113" w:right="113"/>
              <w:rPr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Isolate Tested</w:t>
            </w:r>
            <w:r>
              <w:rPr>
                <w:b/>
                <w:sz w:val="18"/>
                <w:szCs w:val="16"/>
              </w:rPr>
              <w:t>*</w:t>
            </w:r>
          </w:p>
        </w:tc>
        <w:tc>
          <w:tcPr>
            <w:tcW w:w="9156" w:type="dxa"/>
            <w:gridSpan w:val="14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7F1EEB0B" w14:textId="77777777" w:rsidR="000120E3" w:rsidRPr="00B06D8F" w:rsidRDefault="000120E3" w:rsidP="00145EC1">
            <w:pPr>
              <w:jc w:val="center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Percent Susceptible</w:t>
            </w:r>
          </w:p>
        </w:tc>
      </w:tr>
      <w:tr w:rsidR="000120E3" w:rsidRPr="00FD4B37" w14:paraId="372466A0" w14:textId="77777777" w:rsidTr="000120E3">
        <w:trPr>
          <w:cantSplit/>
          <w:trHeight w:val="2069"/>
        </w:trPr>
        <w:tc>
          <w:tcPr>
            <w:tcW w:w="30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DC1DC8" w14:textId="77777777" w:rsidR="000120E3" w:rsidRPr="00B06D8F" w:rsidRDefault="000120E3" w:rsidP="00145EC1">
            <w:pPr>
              <w:spacing w:line="360" w:lineRule="auto"/>
              <w:rPr>
                <w:b/>
                <w:sz w:val="18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446F2FD0" w14:textId="77777777"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788A1434" w14:textId="77777777"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Penicillin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64360055" w14:textId="77777777"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Ampicillin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06B79705" w14:textId="77777777" w:rsidR="000120E3" w:rsidRPr="000120E3" w:rsidRDefault="000120E3" w:rsidP="00145EC1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Oxacillin</w:t>
            </w:r>
            <w:r>
              <w:rPr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4C2961FF" w14:textId="77777777"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Gentamicin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6AA162E7" w14:textId="77777777" w:rsidR="000120E3" w:rsidRPr="0049123D" w:rsidRDefault="000120E3" w:rsidP="000120E3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Ciprofloxacin</w:t>
            </w:r>
            <w:r>
              <w:rPr>
                <w:b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4C5C2E01" w14:textId="77777777" w:rsidR="000120E3" w:rsidRPr="0049123D" w:rsidRDefault="000120E3" w:rsidP="000120E3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Levofloxacin</w:t>
            </w:r>
            <w:r>
              <w:rPr>
                <w:b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075DC065" w14:textId="77777777"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Moxifloxacin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32AAA8FA" w14:textId="77777777"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 w:rsidRPr="00B06D8F">
              <w:rPr>
                <w:b/>
                <w:sz w:val="18"/>
                <w:szCs w:val="16"/>
              </w:rPr>
              <w:t>Trimethoprim/Sulfa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582140D5" w14:textId="77777777" w:rsidR="000120E3" w:rsidRPr="000120E3" w:rsidRDefault="000120E3" w:rsidP="00145EC1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Clindamycin</w:t>
            </w:r>
            <w:r>
              <w:rPr>
                <w:b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0EC10632" w14:textId="77777777" w:rsidR="000120E3" w:rsidRPr="000120E3" w:rsidRDefault="000120E3" w:rsidP="00145EC1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Daptomycin</w:t>
            </w:r>
            <w:r>
              <w:rPr>
                <w:b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1E176556" w14:textId="77777777" w:rsidR="000120E3" w:rsidRPr="0049123D" w:rsidRDefault="000120E3" w:rsidP="000120E3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Nitrofurantoin</w:t>
            </w:r>
            <w:r>
              <w:rPr>
                <w:b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02975E6D" w14:textId="77777777"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Linezolid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040E2855" w14:textId="77777777" w:rsidR="000120E3" w:rsidRPr="00B06D8F" w:rsidRDefault="000120E3" w:rsidP="00145EC1">
            <w:pPr>
              <w:ind w:left="113" w:right="113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Vancomycin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  <w:textDirection w:val="btLr"/>
            <w:vAlign w:val="center"/>
          </w:tcPr>
          <w:p w14:paraId="2E2E0938" w14:textId="77777777" w:rsidR="000120E3" w:rsidRPr="0049123D" w:rsidRDefault="000120E3" w:rsidP="000120E3">
            <w:pPr>
              <w:ind w:left="113" w:right="113"/>
              <w:rPr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Tetracycline</w:t>
            </w:r>
            <w:r>
              <w:rPr>
                <w:b/>
                <w:sz w:val="18"/>
                <w:szCs w:val="16"/>
                <w:vertAlign w:val="superscript"/>
              </w:rPr>
              <w:t>2</w:t>
            </w:r>
          </w:p>
        </w:tc>
      </w:tr>
      <w:tr w:rsidR="000120E3" w:rsidRPr="00FD4B37" w14:paraId="72441AEF" w14:textId="77777777" w:rsidTr="000120E3">
        <w:trPr>
          <w:trHeight w:val="288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14:paraId="0A81E90C" w14:textId="77777777" w:rsidR="000120E3" w:rsidRPr="00617044" w:rsidRDefault="000120E3" w:rsidP="00145EC1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Staph. aureus (MSSA)</w:t>
            </w:r>
            <w:r>
              <w:rPr>
                <w:b/>
                <w:sz w:val="18"/>
                <w:szCs w:val="16"/>
              </w:rPr>
              <w:t xml:space="preserve"> 40%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4D63625" w14:textId="77777777" w:rsidR="000120E3" w:rsidRPr="008078E8" w:rsidRDefault="008078E8" w:rsidP="00145EC1">
            <w:pPr>
              <w:jc w:val="center"/>
              <w:rPr>
                <w:sz w:val="20"/>
                <w:szCs w:val="16"/>
              </w:rPr>
            </w:pPr>
            <w:r w:rsidRPr="008078E8">
              <w:rPr>
                <w:sz w:val="20"/>
                <w:szCs w:val="16"/>
              </w:rPr>
              <w:t>8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8E7F98B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65D03A5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961829F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CDCD1A5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E639683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D91E4E7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1072612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A4C4432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AE13330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75B08D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A02CB38" w14:textId="77777777"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83AED72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7B420E9" w14:textId="77777777"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45F2CBD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</w:tr>
      <w:tr w:rsidR="000120E3" w:rsidRPr="00FD4B37" w14:paraId="727A1536" w14:textId="77777777" w:rsidTr="000120E3">
        <w:trPr>
          <w:trHeight w:val="288"/>
        </w:trPr>
        <w:tc>
          <w:tcPr>
            <w:tcW w:w="3060" w:type="dxa"/>
            <w:vAlign w:val="center"/>
          </w:tcPr>
          <w:p w14:paraId="39CA3F95" w14:textId="77777777" w:rsidR="000120E3" w:rsidRPr="00617044" w:rsidRDefault="000120E3" w:rsidP="00145EC1">
            <w:pPr>
              <w:rPr>
                <w:b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Staph. aureus (MRSA)</w:t>
            </w:r>
            <w:r>
              <w:rPr>
                <w:b/>
                <w:sz w:val="18"/>
                <w:szCs w:val="16"/>
              </w:rPr>
              <w:t xml:space="preserve"> 60%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1EF5FB3E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5DB43145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64D3034C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0E3275A5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40D7F828" w14:textId="77777777"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3857FFBB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22FA83AD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7F9A360C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5A185F05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92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74023BF9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14C3B4A6" w14:textId="77777777"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32F5FB14" w14:textId="77777777"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21ADFFA4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2B34F419" w14:textId="77777777"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29851B6E" w14:textId="77777777"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</w:tr>
      <w:tr w:rsidR="000120E3" w:rsidRPr="00FD4B37" w14:paraId="5BE40103" w14:textId="77777777" w:rsidTr="000120E3">
        <w:trPr>
          <w:trHeight w:val="288"/>
        </w:trPr>
        <w:tc>
          <w:tcPr>
            <w:tcW w:w="3060" w:type="dxa"/>
            <w:vAlign w:val="center"/>
          </w:tcPr>
          <w:p w14:paraId="508CB90B" w14:textId="77777777" w:rsidR="000120E3" w:rsidRPr="00B06D8F" w:rsidRDefault="000120E3" w:rsidP="00145EC1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Enterococcus faecalis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41A3C1B9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45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424BB12C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98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6CD8AC17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4F4ED6A8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1E8DBEE1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3EE07B08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44DCABB6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71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60B43BBC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7D64743C" w14:textId="77777777"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11CC12F1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--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5CFF65D1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4CF1DA97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755BC09F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5BF997EF" w14:textId="77777777" w:rsidR="000120E3" w:rsidRPr="00B06D8F" w:rsidRDefault="000120E3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654" w:type="dxa"/>
            <w:tcMar>
              <w:left w:w="72" w:type="dxa"/>
              <w:right w:w="72" w:type="dxa"/>
            </w:tcMar>
            <w:vAlign w:val="center"/>
          </w:tcPr>
          <w:p w14:paraId="1146958D" w14:textId="77777777" w:rsidR="000120E3" w:rsidRPr="00B06D8F" w:rsidRDefault="008078E8" w:rsidP="00145EC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</w:t>
            </w:r>
          </w:p>
        </w:tc>
      </w:tr>
    </w:tbl>
    <w:p w14:paraId="5507B22C" w14:textId="77777777" w:rsidR="00617044" w:rsidRDefault="0049123D" w:rsidP="000120E3">
      <w:pPr>
        <w:spacing w:after="0" w:line="240" w:lineRule="auto"/>
        <w:ind w:right="-720"/>
        <w:rPr>
          <w:sz w:val="16"/>
        </w:rPr>
      </w:pPr>
      <w:r>
        <w:rPr>
          <w:sz w:val="16"/>
        </w:rPr>
        <w:t xml:space="preserve">* Antibiogram with </w:t>
      </w:r>
      <w:r w:rsidR="00617044">
        <w:rPr>
          <w:sz w:val="16"/>
        </w:rPr>
        <w:t>&lt;30 isolates are of questionable statistical significance; interpret data with caution</w:t>
      </w:r>
      <w:r w:rsidR="00617044">
        <w:rPr>
          <w:sz w:val="16"/>
        </w:rPr>
        <w:tab/>
      </w:r>
      <w:r w:rsidR="000120E3">
        <w:rPr>
          <w:sz w:val="16"/>
        </w:rPr>
        <w:tab/>
      </w:r>
      <w:r w:rsidR="00FD40BD">
        <w:rPr>
          <w:sz w:val="16"/>
        </w:rPr>
        <w:t xml:space="preserve">-- Denotes organism has intrinsic resistance </w:t>
      </w:r>
      <w:r>
        <w:rPr>
          <w:sz w:val="16"/>
        </w:rPr>
        <w:t>to or is not tested against t</w:t>
      </w:r>
      <w:r w:rsidR="00FD40BD">
        <w:rPr>
          <w:sz w:val="16"/>
        </w:rPr>
        <w:t xml:space="preserve">his </w:t>
      </w:r>
      <w:r w:rsidR="000120E3">
        <w:rPr>
          <w:sz w:val="16"/>
        </w:rPr>
        <w:t>antibiotic</w:t>
      </w:r>
    </w:p>
    <w:p w14:paraId="234B12E9" w14:textId="77777777" w:rsidR="000120E3" w:rsidRDefault="00617044" w:rsidP="000120E3">
      <w:pPr>
        <w:spacing w:after="0" w:line="240" w:lineRule="auto"/>
        <w:rPr>
          <w:sz w:val="16"/>
        </w:rPr>
      </w:pPr>
      <w:r>
        <w:rPr>
          <w:sz w:val="16"/>
        </w:rPr>
        <w:t xml:space="preserve">1. </w:t>
      </w:r>
      <w:r w:rsidR="000120E3">
        <w:rPr>
          <w:sz w:val="16"/>
        </w:rPr>
        <w:t>Oxacillin predicts susceptibility to most cephalosporins, carbapenems, and beta-lactam/beta-lactamase inhibitors</w:t>
      </w:r>
      <w:r w:rsidR="000120E3">
        <w:rPr>
          <w:sz w:val="16"/>
        </w:rPr>
        <w:tab/>
      </w:r>
    </w:p>
    <w:p w14:paraId="12212EB8" w14:textId="77777777" w:rsidR="000120E3" w:rsidRDefault="000120E3" w:rsidP="000120E3">
      <w:pPr>
        <w:spacing w:after="0" w:line="240" w:lineRule="auto"/>
        <w:rPr>
          <w:sz w:val="16"/>
        </w:rPr>
      </w:pPr>
      <w:r>
        <w:rPr>
          <w:sz w:val="16"/>
        </w:rPr>
        <w:t xml:space="preserve">2. </w:t>
      </w:r>
      <w:r w:rsidR="00617044">
        <w:rPr>
          <w:sz w:val="16"/>
        </w:rPr>
        <w:t xml:space="preserve">For </w:t>
      </w:r>
      <w:r w:rsidR="00617044">
        <w:rPr>
          <w:i/>
          <w:sz w:val="16"/>
        </w:rPr>
        <w:t>E faecalis</w:t>
      </w:r>
      <w:r w:rsidR="00617044">
        <w:rPr>
          <w:sz w:val="16"/>
        </w:rPr>
        <w:t>: ciprofloxacin, levofloxacin, tetracycline is reported for urine sources only</w:t>
      </w:r>
    </w:p>
    <w:p w14:paraId="1E09F38E" w14:textId="77777777" w:rsidR="00FD40BD" w:rsidRDefault="000120E3" w:rsidP="000120E3">
      <w:pPr>
        <w:spacing w:after="0" w:line="240" w:lineRule="auto"/>
        <w:rPr>
          <w:sz w:val="16"/>
        </w:rPr>
      </w:pPr>
      <w:r>
        <w:rPr>
          <w:sz w:val="16"/>
        </w:rPr>
        <w:t>3</w:t>
      </w:r>
      <w:r w:rsidR="00FD40BD">
        <w:rPr>
          <w:sz w:val="16"/>
        </w:rPr>
        <w:t xml:space="preserve">. </w:t>
      </w:r>
      <w:r>
        <w:rPr>
          <w:sz w:val="16"/>
        </w:rPr>
        <w:t xml:space="preserve">For </w:t>
      </w:r>
      <w:r>
        <w:rPr>
          <w:i/>
          <w:sz w:val="16"/>
        </w:rPr>
        <w:t xml:space="preserve">Staphylococcus </w:t>
      </w:r>
      <w:r>
        <w:rPr>
          <w:sz w:val="16"/>
        </w:rPr>
        <w:t>species: clindamycin is reported for non-urine sources only</w:t>
      </w:r>
    </w:p>
    <w:p w14:paraId="7ED15697" w14:textId="77777777" w:rsidR="000120E3" w:rsidRDefault="000120E3" w:rsidP="000120E3">
      <w:pPr>
        <w:spacing w:after="0" w:line="240" w:lineRule="auto"/>
        <w:rPr>
          <w:sz w:val="16"/>
        </w:rPr>
      </w:pPr>
      <w:r>
        <w:rPr>
          <w:sz w:val="16"/>
        </w:rPr>
        <w:t xml:space="preserve">4. For </w:t>
      </w:r>
      <w:r>
        <w:rPr>
          <w:i/>
          <w:sz w:val="16"/>
        </w:rPr>
        <w:t xml:space="preserve">Staphylococcus </w:t>
      </w:r>
      <w:r>
        <w:rPr>
          <w:sz w:val="16"/>
        </w:rPr>
        <w:t>species: daptomycin is reported for non-respiratory sources only</w:t>
      </w:r>
    </w:p>
    <w:p w14:paraId="3FF3CE0D" w14:textId="77777777" w:rsidR="000120E3" w:rsidRPr="000120E3" w:rsidRDefault="000120E3" w:rsidP="000120E3">
      <w:pPr>
        <w:spacing w:after="0" w:line="240" w:lineRule="auto"/>
        <w:rPr>
          <w:sz w:val="14"/>
        </w:rPr>
      </w:pPr>
      <w:r>
        <w:rPr>
          <w:sz w:val="16"/>
        </w:rPr>
        <w:t>5. Nitrofurantoin is reported for urine sources only</w:t>
      </w:r>
    </w:p>
    <w:p w14:paraId="0734917B" w14:textId="77777777" w:rsidR="008078E8" w:rsidRDefault="008078E8" w:rsidP="00617044">
      <w:pPr>
        <w:spacing w:after="120" w:line="276" w:lineRule="auto"/>
        <w:rPr>
          <w:b/>
          <w:i/>
          <w:sz w:val="20"/>
        </w:rPr>
      </w:pPr>
    </w:p>
    <w:p w14:paraId="06BDDD79" w14:textId="77777777" w:rsidR="00617044" w:rsidRPr="00FB5145" w:rsidRDefault="00617044" w:rsidP="00617044">
      <w:pPr>
        <w:spacing w:after="120" w:line="276" w:lineRule="auto"/>
        <w:rPr>
          <w:b/>
          <w:i/>
          <w:sz w:val="20"/>
        </w:rPr>
      </w:pPr>
      <w:r w:rsidRPr="00FB5145">
        <w:rPr>
          <w:b/>
          <w:i/>
          <w:sz w:val="20"/>
        </w:rPr>
        <w:t>Summary</w:t>
      </w:r>
      <w:r>
        <w:rPr>
          <w:b/>
          <w:i/>
          <w:sz w:val="20"/>
        </w:rPr>
        <w:t xml:space="preserve"> for Gram-</w:t>
      </w:r>
      <w:r w:rsidR="008078E8">
        <w:rPr>
          <w:b/>
          <w:i/>
          <w:sz w:val="20"/>
        </w:rPr>
        <w:t>Positive</w:t>
      </w:r>
      <w:r>
        <w:rPr>
          <w:b/>
          <w:i/>
          <w:sz w:val="20"/>
        </w:rPr>
        <w:t xml:space="preserve"> Organisms</w:t>
      </w:r>
    </w:p>
    <w:p w14:paraId="3CE630DE" w14:textId="77777777" w:rsidR="00617044" w:rsidRPr="00FB5145" w:rsidRDefault="00617044" w:rsidP="00617044">
      <w:pPr>
        <w:spacing w:after="120" w:line="276" w:lineRule="auto"/>
        <w:rPr>
          <w:sz w:val="20"/>
        </w:rPr>
      </w:pPr>
      <w:r w:rsidRPr="00FB5145">
        <w:rPr>
          <w:sz w:val="20"/>
        </w:rPr>
        <w:t xml:space="preserve">During the 2-year period between January 2015 and December 2016, a total of </w:t>
      </w:r>
      <w:r w:rsidR="008078E8">
        <w:rPr>
          <w:sz w:val="20"/>
        </w:rPr>
        <w:t>45</w:t>
      </w:r>
      <w:r w:rsidRPr="00FB5145">
        <w:rPr>
          <w:sz w:val="20"/>
        </w:rPr>
        <w:t xml:space="preserve"> </w:t>
      </w:r>
      <w:r w:rsidRPr="00FB5145">
        <w:rPr>
          <w:i/>
          <w:sz w:val="20"/>
        </w:rPr>
        <w:t xml:space="preserve">E </w:t>
      </w:r>
      <w:proofErr w:type="spellStart"/>
      <w:r w:rsidR="008078E8">
        <w:rPr>
          <w:i/>
          <w:sz w:val="20"/>
        </w:rPr>
        <w:t>faecais</w:t>
      </w:r>
      <w:r w:rsidRPr="00FB5145">
        <w:rPr>
          <w:i/>
          <w:sz w:val="20"/>
        </w:rPr>
        <w:t>i</w:t>
      </w:r>
      <w:proofErr w:type="spellEnd"/>
      <w:r w:rsidRPr="00FB5145">
        <w:rPr>
          <w:sz w:val="20"/>
        </w:rPr>
        <w:t xml:space="preserve"> were i</w:t>
      </w:r>
      <w:r>
        <w:rPr>
          <w:sz w:val="20"/>
        </w:rPr>
        <w:t>dentified</w:t>
      </w:r>
      <w:r w:rsidRPr="00FB5145">
        <w:rPr>
          <w:sz w:val="20"/>
        </w:rPr>
        <w:t xml:space="preserve">, making it the most commonly identified </w:t>
      </w:r>
      <w:r w:rsidR="008078E8">
        <w:rPr>
          <w:sz w:val="20"/>
        </w:rPr>
        <w:t xml:space="preserve">Gram-positive </w:t>
      </w:r>
      <w:r w:rsidRPr="00FB5145">
        <w:rPr>
          <w:sz w:val="20"/>
        </w:rPr>
        <w:t xml:space="preserve">pathogen.  Antibiotic susceptibility of these </w:t>
      </w:r>
      <w:r w:rsidRPr="00FB5145">
        <w:rPr>
          <w:i/>
          <w:sz w:val="20"/>
        </w:rPr>
        <w:t xml:space="preserve">E </w:t>
      </w:r>
      <w:r w:rsidR="008078E8">
        <w:rPr>
          <w:i/>
          <w:sz w:val="20"/>
        </w:rPr>
        <w:t>faecalis</w:t>
      </w:r>
      <w:r w:rsidRPr="00FB5145">
        <w:rPr>
          <w:i/>
          <w:sz w:val="20"/>
        </w:rPr>
        <w:t xml:space="preserve"> can be summarized as follow:</w:t>
      </w:r>
      <w:r w:rsidRPr="00FB5145">
        <w:rPr>
          <w:sz w:val="20"/>
        </w:rPr>
        <w:t xml:space="preserve"> </w:t>
      </w:r>
    </w:p>
    <w:p w14:paraId="65ED7A2E" w14:textId="77777777" w:rsidR="00617044" w:rsidRPr="008078E8" w:rsidRDefault="00617044" w:rsidP="008078E8">
      <w:pPr>
        <w:pStyle w:val="ListParagraph"/>
        <w:numPr>
          <w:ilvl w:val="0"/>
          <w:numId w:val="4"/>
        </w:numPr>
        <w:tabs>
          <w:tab w:val="left" w:pos="360"/>
        </w:tabs>
        <w:spacing w:after="120" w:line="276" w:lineRule="auto"/>
        <w:rPr>
          <w:sz w:val="20"/>
        </w:rPr>
      </w:pPr>
      <w:r w:rsidRPr="008078E8">
        <w:rPr>
          <w:sz w:val="20"/>
        </w:rPr>
        <w:t xml:space="preserve">Oral antibiotics with the </w:t>
      </w:r>
      <w:r w:rsidRPr="008078E8">
        <w:rPr>
          <w:b/>
          <w:i/>
          <w:sz w:val="20"/>
        </w:rPr>
        <w:t>highest</w:t>
      </w:r>
      <w:r w:rsidRPr="008078E8">
        <w:rPr>
          <w:sz w:val="20"/>
        </w:rPr>
        <w:t xml:space="preserve"> susceptibilities were:</w:t>
      </w:r>
    </w:p>
    <w:p w14:paraId="62752621" w14:textId="77777777" w:rsidR="00617044" w:rsidRPr="00FB5145" w:rsidRDefault="008078E8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>
        <w:rPr>
          <w:sz w:val="20"/>
        </w:rPr>
        <w:t>Ampicillin or amoxicillin</w:t>
      </w:r>
      <w:r w:rsidR="00617044" w:rsidRPr="00FB5145">
        <w:rPr>
          <w:sz w:val="20"/>
        </w:rPr>
        <w:t xml:space="preserve"> (</w:t>
      </w:r>
      <w:r>
        <w:rPr>
          <w:sz w:val="20"/>
        </w:rPr>
        <w:t>100</w:t>
      </w:r>
      <w:r w:rsidR="00617044" w:rsidRPr="00FB5145">
        <w:rPr>
          <w:sz w:val="20"/>
        </w:rPr>
        <w:t>%)</w:t>
      </w:r>
    </w:p>
    <w:p w14:paraId="43449DA6" w14:textId="77777777" w:rsidR="00617044" w:rsidRPr="00FB5145" w:rsidRDefault="008078E8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>
        <w:rPr>
          <w:sz w:val="20"/>
        </w:rPr>
        <w:t>Nitrofurantoin</w:t>
      </w:r>
      <w:r w:rsidR="00617044" w:rsidRPr="00FB5145">
        <w:rPr>
          <w:sz w:val="20"/>
        </w:rPr>
        <w:t xml:space="preserve"> (</w:t>
      </w:r>
      <w:r>
        <w:rPr>
          <w:sz w:val="20"/>
        </w:rPr>
        <w:t>100%)</w:t>
      </w:r>
    </w:p>
    <w:p w14:paraId="3A60C518" w14:textId="77777777" w:rsidR="00617044" w:rsidRPr="00070595" w:rsidRDefault="008078E8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 w:rsidRPr="00070595">
        <w:rPr>
          <w:sz w:val="20"/>
        </w:rPr>
        <w:t>Linezolid</w:t>
      </w:r>
      <w:r w:rsidR="00617044" w:rsidRPr="00070595">
        <w:rPr>
          <w:sz w:val="20"/>
        </w:rPr>
        <w:t xml:space="preserve"> (</w:t>
      </w:r>
      <w:r w:rsidRPr="00070595">
        <w:rPr>
          <w:sz w:val="20"/>
        </w:rPr>
        <w:t>100%)</w:t>
      </w:r>
    </w:p>
    <w:p w14:paraId="2D75F0C1" w14:textId="77777777" w:rsidR="00617044" w:rsidRPr="00FB5145" w:rsidRDefault="00617044" w:rsidP="008078E8">
      <w:pPr>
        <w:pStyle w:val="ListParagraph"/>
        <w:spacing w:after="120" w:line="276" w:lineRule="auto"/>
        <w:ind w:left="360" w:firstLine="45"/>
        <w:rPr>
          <w:sz w:val="20"/>
        </w:rPr>
      </w:pPr>
    </w:p>
    <w:p w14:paraId="20A1D716" w14:textId="77777777" w:rsidR="00617044" w:rsidRPr="00FB5145" w:rsidRDefault="00070595" w:rsidP="008078E8">
      <w:pPr>
        <w:pStyle w:val="ListParagraph"/>
        <w:numPr>
          <w:ilvl w:val="0"/>
          <w:numId w:val="4"/>
        </w:numPr>
        <w:spacing w:after="120" w:line="276" w:lineRule="auto"/>
        <w:rPr>
          <w:sz w:val="20"/>
        </w:rPr>
      </w:pPr>
      <w:r>
        <w:rPr>
          <w:sz w:val="20"/>
        </w:rPr>
        <w:t xml:space="preserve">Intravenous antibiotics with the </w:t>
      </w:r>
      <w:r>
        <w:rPr>
          <w:b/>
          <w:i/>
          <w:color w:val="000000" w:themeColor="text1"/>
          <w:sz w:val="20"/>
        </w:rPr>
        <w:t>highest</w:t>
      </w:r>
      <w:r>
        <w:rPr>
          <w:color w:val="000000" w:themeColor="text1"/>
          <w:sz w:val="20"/>
        </w:rPr>
        <w:t xml:space="preserve"> susceptibilities were:</w:t>
      </w:r>
    </w:p>
    <w:p w14:paraId="7BC51897" w14:textId="77777777" w:rsidR="00617044" w:rsidRPr="00FB5145" w:rsidRDefault="00617044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 w:rsidRPr="00FB5145">
        <w:rPr>
          <w:sz w:val="20"/>
        </w:rPr>
        <w:t>Ampicillin</w:t>
      </w:r>
      <w:r w:rsidR="00070595">
        <w:rPr>
          <w:sz w:val="20"/>
        </w:rPr>
        <w:t xml:space="preserve"> </w:t>
      </w:r>
      <w:r w:rsidRPr="00FB5145">
        <w:rPr>
          <w:sz w:val="20"/>
        </w:rPr>
        <w:t>(</w:t>
      </w:r>
      <w:r w:rsidR="00070595">
        <w:rPr>
          <w:sz w:val="20"/>
        </w:rPr>
        <w:t>100</w:t>
      </w:r>
      <w:r w:rsidRPr="00FB5145">
        <w:rPr>
          <w:sz w:val="20"/>
        </w:rPr>
        <w:t>%)</w:t>
      </w:r>
    </w:p>
    <w:p w14:paraId="534D627F" w14:textId="77777777" w:rsidR="00617044" w:rsidRDefault="00070595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>
        <w:rPr>
          <w:sz w:val="20"/>
        </w:rPr>
        <w:t>Daptomycin</w:t>
      </w:r>
      <w:r w:rsidR="00617044" w:rsidRPr="00FB5145">
        <w:rPr>
          <w:sz w:val="20"/>
        </w:rPr>
        <w:t xml:space="preserve"> (</w:t>
      </w:r>
      <w:r>
        <w:rPr>
          <w:sz w:val="20"/>
        </w:rPr>
        <w:t>100</w:t>
      </w:r>
      <w:r w:rsidR="00617044" w:rsidRPr="00FB5145">
        <w:rPr>
          <w:sz w:val="20"/>
        </w:rPr>
        <w:t>%)</w:t>
      </w:r>
    </w:p>
    <w:p w14:paraId="5AC895E6" w14:textId="77777777" w:rsidR="00070595" w:rsidRDefault="00070595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>
        <w:rPr>
          <w:sz w:val="20"/>
        </w:rPr>
        <w:t>Linezolid (100%)</w:t>
      </w:r>
    </w:p>
    <w:p w14:paraId="5C2B8ABE" w14:textId="77777777" w:rsidR="00070595" w:rsidRPr="00FB5145" w:rsidRDefault="00070595" w:rsidP="008078E8">
      <w:pPr>
        <w:pStyle w:val="ListParagraph"/>
        <w:numPr>
          <w:ilvl w:val="1"/>
          <w:numId w:val="4"/>
        </w:numPr>
        <w:spacing w:after="120" w:line="276" w:lineRule="auto"/>
        <w:ind w:left="1080"/>
        <w:rPr>
          <w:sz w:val="20"/>
        </w:rPr>
      </w:pPr>
      <w:r>
        <w:rPr>
          <w:sz w:val="20"/>
        </w:rPr>
        <w:t>Vancomycin (100%)</w:t>
      </w:r>
    </w:p>
    <w:p w14:paraId="0D769456" w14:textId="77777777" w:rsidR="00FD40BD" w:rsidRPr="00B520A9" w:rsidRDefault="00617044" w:rsidP="00FB5145">
      <w:pPr>
        <w:spacing w:after="120" w:line="276" w:lineRule="auto"/>
        <w:rPr>
          <w:i/>
          <w:sz w:val="20"/>
        </w:rPr>
      </w:pPr>
      <w:r w:rsidRPr="00B520A9">
        <w:rPr>
          <w:i/>
          <w:sz w:val="20"/>
        </w:rPr>
        <w:t xml:space="preserve">Antibiotic susceptibility data </w:t>
      </w:r>
      <w:r>
        <w:rPr>
          <w:i/>
          <w:sz w:val="20"/>
        </w:rPr>
        <w:t xml:space="preserve">can be useful </w:t>
      </w:r>
      <w:r w:rsidRPr="00B520A9">
        <w:rPr>
          <w:i/>
          <w:sz w:val="20"/>
        </w:rPr>
        <w:t>for guiding selection of empiric antibiotic therapy for residents in whom culture and susceptibility data from the past few months are not available.</w:t>
      </w:r>
    </w:p>
    <w:sectPr w:rsidR="00FD40BD" w:rsidRPr="00B520A9" w:rsidSect="00212406">
      <w:headerReference w:type="default" r:id="rId8"/>
      <w:footerReference w:type="default" r:id="rId9"/>
      <w:pgSz w:w="15840" w:h="12240" w:orient="landscape"/>
      <w:pgMar w:top="864" w:right="1440" w:bottom="864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364F" w14:textId="77777777" w:rsidR="006517C9" w:rsidRDefault="006517C9" w:rsidP="006517C9">
      <w:pPr>
        <w:spacing w:after="0" w:line="240" w:lineRule="auto"/>
      </w:pPr>
      <w:r>
        <w:separator/>
      </w:r>
    </w:p>
  </w:endnote>
  <w:endnote w:type="continuationSeparator" w:id="0">
    <w:p w14:paraId="7BEFAA3C" w14:textId="77777777" w:rsidR="006517C9" w:rsidRDefault="006517C9" w:rsidP="0065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8B86" w14:textId="77777777" w:rsidR="00591069" w:rsidRDefault="00D440A4" w:rsidP="00D440A4">
    <w:pPr>
      <w:ind w:right="-720"/>
      <w:jc w:val="right"/>
    </w:pPr>
    <w:r>
      <w:rPr>
        <w:rFonts w:ascii="Elephant" w:eastAsia="Calibri" w:hAnsi="Elephant" w:cs="Times New Roman"/>
        <w:noProof/>
        <w:sz w:val="56"/>
        <w:szCs w:val="56"/>
      </w:rPr>
      <w:drawing>
        <wp:inline distT="0" distB="0" distL="0" distR="0" wp14:anchorId="1380DE43" wp14:editId="51DB7CB1">
          <wp:extent cx="1773936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6685" w:rsidRPr="00526685">
      <w:rPr>
        <w:rFonts w:ascii="Elephant" w:eastAsia="Calibri" w:hAnsi="Elephant" w:cs="Times New Roman"/>
        <w:sz w:val="56"/>
        <w:szCs w:val="5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5DA5" w14:textId="77777777" w:rsidR="006517C9" w:rsidRDefault="006517C9" w:rsidP="006517C9">
      <w:pPr>
        <w:spacing w:after="0" w:line="240" w:lineRule="auto"/>
      </w:pPr>
      <w:r>
        <w:separator/>
      </w:r>
    </w:p>
  </w:footnote>
  <w:footnote w:type="continuationSeparator" w:id="0">
    <w:p w14:paraId="3C24C114" w14:textId="77777777" w:rsidR="006517C9" w:rsidRDefault="006517C9" w:rsidP="0065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1455" w14:textId="77777777" w:rsidR="006517C9" w:rsidRPr="006517C9" w:rsidRDefault="006517C9">
    <w:pPr>
      <w:pStyle w:val="Header"/>
      <w:rPr>
        <w:b/>
      </w:rPr>
    </w:pPr>
    <w:r w:rsidRPr="006517C9">
      <w:rPr>
        <w:b/>
      </w:rPr>
      <w:t>Antibio</w:t>
    </w:r>
    <w:r w:rsidR="00A263BC">
      <w:rPr>
        <w:b/>
      </w:rPr>
      <w:t>grams</w:t>
    </w:r>
    <w:r w:rsidR="001A5BC3">
      <w:rPr>
        <w:b/>
      </w:rPr>
      <w:t xml:space="preserve"> for Most </w:t>
    </w:r>
    <w:r w:rsidR="00A263BC">
      <w:rPr>
        <w:b/>
      </w:rPr>
      <w:t>Frequently</w:t>
    </w:r>
    <w:r w:rsidR="001A5BC3">
      <w:rPr>
        <w:b/>
      </w:rPr>
      <w:t xml:space="preserve"> Isolated Pathogen</w:t>
    </w:r>
    <w:r w:rsidR="00A263BC">
      <w:rPr>
        <w:b/>
      </w:rPr>
      <w:t>s, with Summary Comments</w:t>
    </w:r>
  </w:p>
  <w:p w14:paraId="019FE6EF" w14:textId="77777777" w:rsidR="006517C9" w:rsidRDefault="0065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1D5"/>
    <w:multiLevelType w:val="hybridMultilevel"/>
    <w:tmpl w:val="2172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E2F68"/>
    <w:multiLevelType w:val="hybridMultilevel"/>
    <w:tmpl w:val="B5202892"/>
    <w:lvl w:ilvl="0" w:tplc="9D7A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0123"/>
    <w:multiLevelType w:val="hybridMultilevel"/>
    <w:tmpl w:val="E47AA33E"/>
    <w:lvl w:ilvl="0" w:tplc="9D7A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CB52A5"/>
    <w:multiLevelType w:val="hybridMultilevel"/>
    <w:tmpl w:val="9B30E77E"/>
    <w:lvl w:ilvl="0" w:tplc="9D7A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497884">
    <w:abstractNumId w:val="0"/>
  </w:num>
  <w:num w:numId="2" w16cid:durableId="211620016">
    <w:abstractNumId w:val="2"/>
  </w:num>
  <w:num w:numId="3" w16cid:durableId="1203833077">
    <w:abstractNumId w:val="3"/>
  </w:num>
  <w:num w:numId="4" w16cid:durableId="1980761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18"/>
    <w:rsid w:val="000120E3"/>
    <w:rsid w:val="00070595"/>
    <w:rsid w:val="00091EC8"/>
    <w:rsid w:val="000C5ECD"/>
    <w:rsid w:val="00126FC4"/>
    <w:rsid w:val="001A5BC3"/>
    <w:rsid w:val="00212406"/>
    <w:rsid w:val="004063CF"/>
    <w:rsid w:val="00434EE9"/>
    <w:rsid w:val="004423C0"/>
    <w:rsid w:val="004534D4"/>
    <w:rsid w:val="0049123D"/>
    <w:rsid w:val="004945DA"/>
    <w:rsid w:val="004F7239"/>
    <w:rsid w:val="005227BC"/>
    <w:rsid w:val="00526685"/>
    <w:rsid w:val="00580121"/>
    <w:rsid w:val="00591069"/>
    <w:rsid w:val="00595E81"/>
    <w:rsid w:val="005A676E"/>
    <w:rsid w:val="005C06F9"/>
    <w:rsid w:val="005C6E18"/>
    <w:rsid w:val="00617044"/>
    <w:rsid w:val="0064651E"/>
    <w:rsid w:val="006517C9"/>
    <w:rsid w:val="0065421A"/>
    <w:rsid w:val="006B0A9E"/>
    <w:rsid w:val="007121AE"/>
    <w:rsid w:val="007748D0"/>
    <w:rsid w:val="007B3C95"/>
    <w:rsid w:val="008078E8"/>
    <w:rsid w:val="00844AD4"/>
    <w:rsid w:val="00871FF6"/>
    <w:rsid w:val="00920C7C"/>
    <w:rsid w:val="00937A01"/>
    <w:rsid w:val="00990112"/>
    <w:rsid w:val="009B6261"/>
    <w:rsid w:val="00A263BC"/>
    <w:rsid w:val="00B023C2"/>
    <w:rsid w:val="00B06D8F"/>
    <w:rsid w:val="00B520A9"/>
    <w:rsid w:val="00D1236C"/>
    <w:rsid w:val="00D440A4"/>
    <w:rsid w:val="00D83727"/>
    <w:rsid w:val="00DC1CAE"/>
    <w:rsid w:val="00DD5402"/>
    <w:rsid w:val="00DE4CFB"/>
    <w:rsid w:val="00FB5145"/>
    <w:rsid w:val="00FD40BD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078CAC"/>
  <w15:chartTrackingRefBased/>
  <w15:docId w15:val="{51D99AA4-1F79-4122-A1BF-E3F4876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C9"/>
  </w:style>
  <w:style w:type="paragraph" w:styleId="Footer">
    <w:name w:val="footer"/>
    <w:basedOn w:val="Normal"/>
    <w:link w:val="FooterChar"/>
    <w:uiPriority w:val="99"/>
    <w:unhideWhenUsed/>
    <w:rsid w:val="006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C9"/>
  </w:style>
  <w:style w:type="table" w:styleId="TableGrid">
    <w:name w:val="Table Grid"/>
    <w:basedOn w:val="TableNormal"/>
    <w:uiPriority w:val="39"/>
    <w:rsid w:val="0077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748D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748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C0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C06F9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595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38519B-5FD6-4A4B-A700-65DE28D2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Cindy Fronning</cp:lastModifiedBy>
  <cp:revision>2</cp:revision>
  <cp:lastPrinted>2017-06-27T22:27:00Z</cp:lastPrinted>
  <dcterms:created xsi:type="dcterms:W3CDTF">2022-08-01T22:35:00Z</dcterms:created>
  <dcterms:modified xsi:type="dcterms:W3CDTF">2022-08-01T22:35:00Z</dcterms:modified>
</cp:coreProperties>
</file>