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71B6" w14:textId="77777777" w:rsidR="005C6E18" w:rsidRPr="00920C7C" w:rsidRDefault="006517C9">
      <w:pPr>
        <w:rPr>
          <w:sz w:val="40"/>
          <w:szCs w:val="40"/>
        </w:rPr>
      </w:pPr>
      <w:r w:rsidRPr="00D440A4">
        <w:rPr>
          <w:b/>
          <w:color w:val="C00000"/>
          <w:sz w:val="40"/>
          <w:szCs w:val="40"/>
        </w:rPr>
        <w:t>[Facility Logo]</w:t>
      </w:r>
    </w:p>
    <w:p w14:paraId="3C5340AA" w14:textId="77777777" w:rsidR="00920C7C" w:rsidRDefault="00920C7C" w:rsidP="006517C9">
      <w:pPr>
        <w:jc w:val="center"/>
        <w:rPr>
          <w:b/>
          <w:sz w:val="28"/>
          <w:szCs w:val="28"/>
        </w:rPr>
      </w:pPr>
    </w:p>
    <w:p w14:paraId="60E482A9" w14:textId="77777777" w:rsidR="006517C9" w:rsidRDefault="006517C9" w:rsidP="0065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Antimicrobial Use Summary Report</w:t>
      </w:r>
    </w:p>
    <w:p w14:paraId="3975837B" w14:textId="77777777" w:rsidR="00B023C2" w:rsidRDefault="00B023C2" w:rsidP="00920C7C">
      <w:pPr>
        <w:spacing w:line="360" w:lineRule="auto"/>
      </w:pPr>
    </w:p>
    <w:p w14:paraId="6C41E9B6" w14:textId="77777777" w:rsidR="007748D0" w:rsidRDefault="00B023C2" w:rsidP="00920C7C">
      <w:pPr>
        <w:spacing w:line="360" w:lineRule="auto"/>
      </w:pPr>
      <w:r>
        <w:t>This report summarize</w:t>
      </w:r>
      <w:r w:rsidR="00B61B86">
        <w:t>s</w:t>
      </w:r>
      <w:r>
        <w:t xml:space="preserve"> all systemic antibiotic</w:t>
      </w:r>
      <w:r w:rsidR="00920C7C">
        <w:t>s (IV, IM, PO)</w:t>
      </w:r>
      <w:r>
        <w:t xml:space="preserve"> prescribed</w:t>
      </w:r>
      <w:r w:rsidR="00920C7C">
        <w:t xml:space="preserve"> between </w:t>
      </w:r>
      <w:r w:rsidR="00920C7C" w:rsidRPr="00D440A4">
        <w:rPr>
          <w:color w:val="C00000"/>
        </w:rPr>
        <w:t xml:space="preserve">[month/year] </w:t>
      </w:r>
      <w:r w:rsidR="00920C7C">
        <w:t xml:space="preserve">to </w:t>
      </w:r>
      <w:r w:rsidR="00920C7C" w:rsidRPr="00D440A4">
        <w:rPr>
          <w:color w:val="C00000"/>
        </w:rPr>
        <w:t>[month/yea</w:t>
      </w:r>
      <w:r w:rsidR="00D440A4">
        <w:rPr>
          <w:color w:val="C00000"/>
        </w:rPr>
        <w:t>r]</w:t>
      </w:r>
      <w:r w:rsidR="00920C7C">
        <w:t xml:space="preserve">.  A total number of </w:t>
      </w:r>
      <w:r w:rsidR="00920C7C" w:rsidRPr="00D440A4">
        <w:rPr>
          <w:color w:val="C00000"/>
        </w:rPr>
        <w:t xml:space="preserve">[aa] </w:t>
      </w:r>
      <w:r w:rsidR="00920C7C">
        <w:t xml:space="preserve">antibiotic courses in </w:t>
      </w:r>
      <w:r w:rsidR="00920C7C" w:rsidRPr="00D440A4">
        <w:rPr>
          <w:color w:val="C00000"/>
        </w:rPr>
        <w:t xml:space="preserve">[bb] </w:t>
      </w:r>
      <w:r w:rsidR="00920C7C">
        <w:t>patients were reviewed.  During this three-month period,</w:t>
      </w:r>
      <w:r w:rsidR="00091EC8">
        <w:t xml:space="preserve"> a total of</w:t>
      </w:r>
      <w:r w:rsidR="00920C7C">
        <w:t xml:space="preserve"> </w:t>
      </w:r>
      <w:r w:rsidR="00DC1CAE" w:rsidRPr="00D440A4">
        <w:rPr>
          <w:color w:val="C00000"/>
        </w:rPr>
        <w:t xml:space="preserve">[cc] </w:t>
      </w:r>
      <w:r w:rsidR="00DC1CAE">
        <w:t xml:space="preserve">antibiotic starts / 1000 resident-days (RD) and </w:t>
      </w:r>
      <w:r w:rsidR="00920C7C" w:rsidRPr="00D440A4">
        <w:rPr>
          <w:color w:val="C00000"/>
        </w:rPr>
        <w:t>[</w:t>
      </w:r>
      <w:r w:rsidR="00DC1CAE" w:rsidRPr="00D440A4">
        <w:rPr>
          <w:color w:val="C00000"/>
        </w:rPr>
        <w:t>dd</w:t>
      </w:r>
      <w:r w:rsidR="00920C7C" w:rsidRPr="00D440A4">
        <w:rPr>
          <w:color w:val="C00000"/>
        </w:rPr>
        <w:t xml:space="preserve">] </w:t>
      </w:r>
      <w:r w:rsidR="00920C7C">
        <w:t xml:space="preserve">days of therapy </w:t>
      </w:r>
      <w:r w:rsidR="00DC1CAE">
        <w:t xml:space="preserve">(DOT) </w:t>
      </w:r>
      <w:r w:rsidR="00920C7C">
        <w:t>/ 1000</w:t>
      </w:r>
      <w:r w:rsidR="00DC1CAE">
        <w:t xml:space="preserve"> RD</w:t>
      </w:r>
      <w:r w:rsidR="00920C7C">
        <w:t xml:space="preserve"> </w:t>
      </w:r>
      <w:r w:rsidR="00DC1CAE">
        <w:t xml:space="preserve">were </w:t>
      </w:r>
      <w:r w:rsidR="00D440A4">
        <w:t>observed</w:t>
      </w:r>
      <w:r w:rsidR="00920C7C">
        <w:t>.  The most common reasons for starting antibiotic</w:t>
      </w:r>
      <w:r w:rsidR="00D440A4">
        <w:t xml:space="preserve"> therapy</w:t>
      </w:r>
      <w:r w:rsidR="00920C7C">
        <w:t xml:space="preserve"> w</w:t>
      </w:r>
      <w:r w:rsidR="00D440A4">
        <w:t>ere</w:t>
      </w:r>
      <w:r w:rsidR="00920C7C">
        <w:t xml:space="preserve"> </w:t>
      </w:r>
      <w:r w:rsidR="00920C7C" w:rsidRPr="00D440A4">
        <w:rPr>
          <w:color w:val="C00000"/>
        </w:rPr>
        <w:t>[</w:t>
      </w:r>
      <w:r w:rsidR="00D440A4" w:rsidRPr="00D440A4">
        <w:rPr>
          <w:color w:val="C00000"/>
        </w:rPr>
        <w:t xml:space="preserve">top 3 </w:t>
      </w:r>
      <w:r w:rsidR="00920C7C" w:rsidRPr="00D440A4">
        <w:rPr>
          <w:color w:val="C00000"/>
        </w:rPr>
        <w:t>infectious syndrome</w:t>
      </w:r>
      <w:r w:rsidR="00D440A4">
        <w:rPr>
          <w:color w:val="C00000"/>
        </w:rPr>
        <w:t>s]</w:t>
      </w:r>
      <w:r w:rsidR="00D440A4" w:rsidRPr="00D440A4">
        <w:rPr>
          <w:color w:val="000000" w:themeColor="text1"/>
        </w:rPr>
        <w:t>.  T</w:t>
      </w:r>
      <w:r w:rsidR="007748D0">
        <w:t xml:space="preserve">he </w:t>
      </w:r>
      <w:r w:rsidR="00844AD4">
        <w:t>t</w:t>
      </w:r>
      <w:r w:rsidR="007748D0">
        <w:t xml:space="preserve">hree most frequently prescribed antibiotics were </w:t>
      </w:r>
      <w:r w:rsidR="007748D0" w:rsidRPr="00091EC8">
        <w:rPr>
          <w:color w:val="C00000"/>
        </w:rPr>
        <w:t>[antibiotic name</w:t>
      </w:r>
      <w:r w:rsidR="00091EC8" w:rsidRPr="00091EC8">
        <w:rPr>
          <w:color w:val="C00000"/>
        </w:rPr>
        <w:t>s</w:t>
      </w:r>
      <w:r w:rsidR="007748D0" w:rsidRPr="00091EC8">
        <w:rPr>
          <w:color w:val="C00000"/>
        </w:rPr>
        <w:t>]</w:t>
      </w:r>
      <w:r w:rsidR="007748D0">
        <w:t>.</w:t>
      </w:r>
      <w:r w:rsidR="00091EC8">
        <w:t xml:space="preserve">  Of all the antibiotic courses </w:t>
      </w:r>
      <w:r w:rsidR="003F610F">
        <w:t>initiated</w:t>
      </w:r>
      <w:r w:rsidR="00844AD4">
        <w:t xml:space="preserve"> during this period</w:t>
      </w:r>
      <w:r w:rsidR="00091EC8">
        <w:t xml:space="preserve">, </w:t>
      </w:r>
      <w:r w:rsidR="00091EC8">
        <w:rPr>
          <w:color w:val="C00000"/>
        </w:rPr>
        <w:t>[</w:t>
      </w:r>
      <w:proofErr w:type="spellStart"/>
      <w:r w:rsidR="00091EC8">
        <w:rPr>
          <w:color w:val="C00000"/>
        </w:rPr>
        <w:t>ee</w:t>
      </w:r>
      <w:proofErr w:type="spellEnd"/>
      <w:r w:rsidR="00091EC8">
        <w:rPr>
          <w:color w:val="C00000"/>
        </w:rPr>
        <w:t>]</w:t>
      </w:r>
      <w:r w:rsidR="003F610F" w:rsidRPr="00216AC4">
        <w:t>%</w:t>
      </w:r>
      <w:r w:rsidR="003F610F">
        <w:rPr>
          <w:color w:val="C00000"/>
        </w:rPr>
        <w:t xml:space="preserve"> </w:t>
      </w:r>
      <w:r w:rsidR="003F610F">
        <w:rPr>
          <w:color w:val="000000" w:themeColor="text1"/>
        </w:rPr>
        <w:t>of</w:t>
      </w:r>
      <w:r w:rsidR="00091EC8">
        <w:rPr>
          <w:color w:val="C00000"/>
        </w:rPr>
        <w:t xml:space="preserve"> </w:t>
      </w:r>
      <w:r w:rsidR="00091EC8">
        <w:rPr>
          <w:color w:val="000000" w:themeColor="text1"/>
        </w:rPr>
        <w:t xml:space="preserve">courses of therapy </w:t>
      </w:r>
      <w:r w:rsidR="003F610F">
        <w:rPr>
          <w:color w:val="000000" w:themeColor="text1"/>
        </w:rPr>
        <w:t xml:space="preserve">were appropriate based on </w:t>
      </w:r>
      <w:r w:rsidR="003F610F">
        <w:rPr>
          <w:color w:val="C00000"/>
        </w:rPr>
        <w:t>[McGeer, Loeb]</w:t>
      </w:r>
      <w:r w:rsidR="003F610F">
        <w:rPr>
          <w:color w:val="000000" w:themeColor="text1"/>
        </w:rPr>
        <w:t xml:space="preserve"> criteria</w:t>
      </w:r>
      <w:r w:rsidR="00091EC8">
        <w:rPr>
          <w:color w:val="000000" w:themeColor="text1"/>
        </w:rPr>
        <w:t>.</w:t>
      </w:r>
      <w:r w:rsidR="007748D0">
        <w:t xml:space="preserve">  The table below further details antibiotic prescribing patterns </w:t>
      </w:r>
      <w:r w:rsidR="003F610F">
        <w:t xml:space="preserve">and appropriateness </w:t>
      </w:r>
      <w:r w:rsidR="007748D0">
        <w:t>during this period.</w:t>
      </w:r>
    </w:p>
    <w:p w14:paraId="37AFD7C4" w14:textId="77777777" w:rsidR="007748D0" w:rsidRPr="00E95A64" w:rsidRDefault="00E95A64" w:rsidP="00E95A64">
      <w:pPr>
        <w:spacing w:after="0" w:line="240" w:lineRule="auto"/>
        <w:rPr>
          <w:b/>
          <w:sz w:val="20"/>
          <w:szCs w:val="20"/>
        </w:rPr>
      </w:pPr>
      <w:r w:rsidRPr="00E95A64">
        <w:rPr>
          <w:b/>
          <w:sz w:val="20"/>
          <w:szCs w:val="20"/>
        </w:rPr>
        <w:t xml:space="preserve">Cumulative </w:t>
      </w:r>
      <w:r>
        <w:rPr>
          <w:b/>
          <w:sz w:val="20"/>
          <w:szCs w:val="20"/>
        </w:rPr>
        <w:t>Antimicrobial Use Summary Report for 20</w:t>
      </w:r>
      <w:r w:rsidRPr="00E95A64">
        <w:rPr>
          <w:b/>
          <w:color w:val="C00000"/>
          <w:sz w:val="20"/>
          <w:szCs w:val="20"/>
        </w:rPr>
        <w:t>[XX]</w:t>
      </w:r>
    </w:p>
    <w:tbl>
      <w:tblPr>
        <w:tblStyle w:val="GridTable6Colorful-Accent5"/>
        <w:tblW w:w="9535" w:type="dxa"/>
        <w:tblLook w:val="04A0" w:firstRow="1" w:lastRow="0" w:firstColumn="1" w:lastColumn="0" w:noHBand="0" w:noVBand="1"/>
      </w:tblPr>
      <w:tblGrid>
        <w:gridCol w:w="1005"/>
        <w:gridCol w:w="1706"/>
        <w:gridCol w:w="1700"/>
        <w:gridCol w:w="1710"/>
        <w:gridCol w:w="1707"/>
        <w:gridCol w:w="1707"/>
      </w:tblGrid>
      <w:tr w:rsidR="00E95A64" w:rsidRPr="00595E81" w14:paraId="7C6CAB3F" w14:textId="77777777" w:rsidTr="003F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6FF53C5D" w14:textId="77777777" w:rsidR="005A676E" w:rsidRPr="00595E81" w:rsidRDefault="00E95A64" w:rsidP="005C06F9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1717" w:type="dxa"/>
          </w:tcPr>
          <w:p w14:paraId="2E19A489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New Antibiotic Start / 1000 RD</w:t>
            </w:r>
          </w:p>
        </w:tc>
        <w:tc>
          <w:tcPr>
            <w:tcW w:w="1717" w:type="dxa"/>
          </w:tcPr>
          <w:p w14:paraId="28C9F336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DOT / 1000 RD</w:t>
            </w:r>
          </w:p>
        </w:tc>
        <w:tc>
          <w:tcPr>
            <w:tcW w:w="1718" w:type="dxa"/>
          </w:tcPr>
          <w:p w14:paraId="6684377B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Top 3 Antibiotics with highest DOT / 1000 RD</w:t>
            </w:r>
          </w:p>
        </w:tc>
        <w:tc>
          <w:tcPr>
            <w:tcW w:w="1717" w:type="dxa"/>
          </w:tcPr>
          <w:p w14:paraId="795153DB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Top 3 Indications for Starting Antibiotic Therapy</w:t>
            </w:r>
          </w:p>
        </w:tc>
        <w:tc>
          <w:tcPr>
            <w:tcW w:w="1718" w:type="dxa"/>
          </w:tcPr>
          <w:p w14:paraId="400AE129" w14:textId="77777777" w:rsidR="005A676E" w:rsidRPr="00595E81" w:rsidRDefault="003F610F" w:rsidP="005C06F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Met Criteria for Initiating Antibiotic Therapy</w:t>
            </w:r>
          </w:p>
        </w:tc>
      </w:tr>
      <w:tr w:rsidR="00E95A64" w:rsidRPr="00595E81" w14:paraId="55B6611F" w14:textId="77777777" w:rsidTr="00E9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6FF2896B" w14:textId="77777777" w:rsidR="00E95A64" w:rsidRDefault="00E95A64" w:rsidP="00E95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First Quarter: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 xml:space="preserve">January </w:t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br/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 xml:space="preserve">to </w:t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br/>
              <w:t>March</w:t>
            </w:r>
          </w:p>
          <w:p w14:paraId="468EBFB0" w14:textId="77777777" w:rsidR="005A676E" w:rsidRPr="00595E81" w:rsidRDefault="005A676E" w:rsidP="007748D0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14:paraId="6D5C997A" w14:textId="77777777" w:rsidR="005A676E" w:rsidRPr="00595E81" w:rsidRDefault="00091EC8" w:rsidP="00091EC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[cc]</w:t>
            </w:r>
          </w:p>
        </w:tc>
        <w:tc>
          <w:tcPr>
            <w:tcW w:w="1717" w:type="dxa"/>
          </w:tcPr>
          <w:p w14:paraId="1478D5A8" w14:textId="77777777" w:rsidR="005A676E" w:rsidRPr="00595E81" w:rsidRDefault="00091EC8" w:rsidP="005C06F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[dd]</w:t>
            </w:r>
          </w:p>
        </w:tc>
        <w:tc>
          <w:tcPr>
            <w:tcW w:w="1718" w:type="dxa"/>
          </w:tcPr>
          <w:p w14:paraId="7AA95D14" w14:textId="77777777" w:rsidR="005A676E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 xml:space="preserve">Ciprofloxacin </w:t>
            </w:r>
            <w:r w:rsidRPr="00595E81">
              <w:rPr>
                <w:color w:val="000000" w:themeColor="text1"/>
                <w:sz w:val="18"/>
                <w:szCs w:val="18"/>
              </w:rPr>
              <w:br/>
              <w:t>(</w:t>
            </w:r>
            <w:r w:rsidR="00091EC8">
              <w:rPr>
                <w:color w:val="C00000"/>
                <w:sz w:val="18"/>
                <w:szCs w:val="18"/>
              </w:rPr>
              <w:t>ff</w:t>
            </w:r>
            <w:r w:rsidRPr="00595E81">
              <w:rPr>
                <w:color w:val="000000" w:themeColor="text1"/>
                <w:sz w:val="18"/>
                <w:szCs w:val="18"/>
              </w:rPr>
              <w:t xml:space="preserve"> DOT/1000 RD)</w:t>
            </w:r>
          </w:p>
          <w:p w14:paraId="4E64BA4E" w14:textId="77777777" w:rsidR="00216AC4" w:rsidRPr="00595E81" w:rsidRDefault="00216AC4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94C2DDD" w14:textId="77777777" w:rsidR="00216AC4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 xml:space="preserve">Cephalexin </w:t>
            </w:r>
            <w:r w:rsidRPr="00595E81">
              <w:rPr>
                <w:color w:val="000000" w:themeColor="text1"/>
                <w:sz w:val="18"/>
                <w:szCs w:val="18"/>
              </w:rPr>
              <w:br/>
              <w:t>(</w:t>
            </w:r>
            <w:r w:rsidR="00091EC8">
              <w:rPr>
                <w:color w:val="C00000"/>
                <w:sz w:val="18"/>
                <w:szCs w:val="18"/>
              </w:rPr>
              <w:t>gg</w:t>
            </w:r>
            <w:r w:rsidRPr="00595E81">
              <w:rPr>
                <w:color w:val="000000" w:themeColor="text1"/>
                <w:sz w:val="18"/>
                <w:szCs w:val="18"/>
              </w:rPr>
              <w:t xml:space="preserve"> DOT/1000 RD)</w:t>
            </w:r>
          </w:p>
          <w:p w14:paraId="4A881D80" w14:textId="77777777"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br/>
              <w:t>Amoxicillin</w:t>
            </w:r>
          </w:p>
          <w:p w14:paraId="62E08367" w14:textId="77777777"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091EC8">
              <w:rPr>
                <w:color w:val="C00000"/>
                <w:sz w:val="18"/>
                <w:szCs w:val="18"/>
              </w:rPr>
              <w:t>hh</w:t>
            </w:r>
            <w:proofErr w:type="spellEnd"/>
            <w:r w:rsidR="00091EC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E81">
              <w:rPr>
                <w:color w:val="000000" w:themeColor="text1"/>
                <w:sz w:val="18"/>
                <w:szCs w:val="18"/>
              </w:rPr>
              <w:t>DOT/1000 RD)</w:t>
            </w:r>
          </w:p>
          <w:p w14:paraId="5A1DE055" w14:textId="77777777"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14:paraId="4733F585" w14:textId="77777777"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UTI (</w:t>
            </w:r>
            <w:r w:rsidR="00091EC8">
              <w:rPr>
                <w:color w:val="C00000"/>
                <w:sz w:val="18"/>
                <w:szCs w:val="18"/>
              </w:rPr>
              <w:t>ii</w:t>
            </w:r>
            <w:r w:rsidR="00091EC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E81">
              <w:rPr>
                <w:color w:val="000000" w:themeColor="text1"/>
                <w:sz w:val="18"/>
                <w:szCs w:val="18"/>
              </w:rPr>
              <w:t>%)</w:t>
            </w:r>
          </w:p>
          <w:p w14:paraId="2F5EC496" w14:textId="77777777"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1A87D17" w14:textId="77777777"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SSTI (</w:t>
            </w:r>
            <w:proofErr w:type="spellStart"/>
            <w:r w:rsidR="00091EC8">
              <w:rPr>
                <w:color w:val="C00000"/>
                <w:sz w:val="18"/>
                <w:szCs w:val="18"/>
              </w:rPr>
              <w:t>jj</w:t>
            </w:r>
            <w:proofErr w:type="spellEnd"/>
            <w:r w:rsidR="00091EC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E81">
              <w:rPr>
                <w:color w:val="000000" w:themeColor="text1"/>
                <w:sz w:val="18"/>
                <w:szCs w:val="18"/>
              </w:rPr>
              <w:t>%)</w:t>
            </w:r>
          </w:p>
          <w:p w14:paraId="17D3C9F4" w14:textId="77777777"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2F74D04" w14:textId="77777777"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ARI (</w:t>
            </w:r>
            <w:r w:rsidR="00091EC8">
              <w:rPr>
                <w:color w:val="C00000"/>
                <w:sz w:val="18"/>
                <w:szCs w:val="18"/>
              </w:rPr>
              <w:t>kk</w:t>
            </w:r>
            <w:r w:rsidR="00091EC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E81">
              <w:rPr>
                <w:color w:val="000000" w:themeColor="text1"/>
                <w:sz w:val="18"/>
                <w:szCs w:val="18"/>
              </w:rPr>
              <w:t>%)</w:t>
            </w:r>
          </w:p>
          <w:p w14:paraId="54524ED8" w14:textId="77777777"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14:paraId="74A79DBD" w14:textId="77777777" w:rsidR="005A676E" w:rsidRDefault="003F610F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UTI </w:t>
            </w:r>
            <w:r w:rsidRPr="00595E81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F610F">
              <w:rPr>
                <w:color w:val="FF0000"/>
                <w:sz w:val="18"/>
                <w:szCs w:val="18"/>
              </w:rPr>
              <w:t>ll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E81">
              <w:rPr>
                <w:color w:val="000000" w:themeColor="text1"/>
                <w:sz w:val="18"/>
                <w:szCs w:val="18"/>
              </w:rPr>
              <w:t>%)</w:t>
            </w:r>
          </w:p>
          <w:p w14:paraId="5D5B63BA" w14:textId="77777777" w:rsidR="00216AC4" w:rsidRDefault="00216AC4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60DD161" w14:textId="77777777" w:rsidR="003F610F" w:rsidRDefault="003F610F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SSTI (</w:t>
            </w:r>
            <w:r w:rsidRPr="003F610F">
              <w:rPr>
                <w:color w:val="C00000"/>
                <w:sz w:val="18"/>
                <w:szCs w:val="18"/>
              </w:rPr>
              <w:t>mm</w:t>
            </w:r>
            <w:r>
              <w:rPr>
                <w:color w:val="000000" w:themeColor="text1"/>
                <w:sz w:val="18"/>
                <w:szCs w:val="18"/>
              </w:rPr>
              <w:t xml:space="preserve"> %)</w:t>
            </w:r>
          </w:p>
          <w:p w14:paraId="2B2644EA" w14:textId="77777777" w:rsidR="00216AC4" w:rsidRDefault="00216AC4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62E9434" w14:textId="77777777" w:rsidR="003F610F" w:rsidRDefault="003F610F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ARI (</w:t>
            </w:r>
            <w:proofErr w:type="spellStart"/>
            <w:r w:rsidRPr="003F610F">
              <w:rPr>
                <w:color w:val="C00000"/>
                <w:sz w:val="18"/>
                <w:szCs w:val="18"/>
              </w:rPr>
              <w:t>nn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%)</w:t>
            </w:r>
          </w:p>
          <w:p w14:paraId="73F88EDE" w14:textId="77777777" w:rsidR="00216AC4" w:rsidRDefault="00216AC4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18DBDC8" w14:textId="77777777" w:rsidR="003F610F" w:rsidRPr="00216AC4" w:rsidRDefault="003F610F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Overall </w:t>
            </w:r>
            <w:r w:rsidRPr="003F610F">
              <w:rPr>
                <w:color w:val="C00000"/>
                <w:sz w:val="18"/>
                <w:szCs w:val="18"/>
              </w:rPr>
              <w:t>[</w:t>
            </w:r>
            <w:proofErr w:type="spellStart"/>
            <w:r w:rsidRPr="003F610F">
              <w:rPr>
                <w:color w:val="C00000"/>
                <w:sz w:val="18"/>
                <w:szCs w:val="18"/>
              </w:rPr>
              <w:t>ee</w:t>
            </w:r>
            <w:proofErr w:type="spellEnd"/>
            <w:r w:rsidRPr="003F610F">
              <w:rPr>
                <w:color w:val="C00000"/>
                <w:sz w:val="18"/>
                <w:szCs w:val="18"/>
              </w:rPr>
              <w:t>]</w:t>
            </w:r>
            <w:r w:rsidR="00216AC4">
              <w:rPr>
                <w:color w:val="auto"/>
                <w:sz w:val="18"/>
                <w:szCs w:val="18"/>
              </w:rPr>
              <w:t>%</w:t>
            </w:r>
          </w:p>
        </w:tc>
      </w:tr>
      <w:tr w:rsidR="00E95A64" w:rsidRPr="00595E81" w14:paraId="209485A2" w14:textId="77777777" w:rsidTr="003F6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50B8B655" w14:textId="77777777" w:rsidR="00E95A64" w:rsidRDefault="00E95A64" w:rsidP="00E95A64">
            <w:pPr>
              <w:rPr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Second Quarter: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t>April</w:t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br/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 xml:space="preserve">to </w:t>
            </w:r>
          </w:p>
          <w:p w14:paraId="5937AD13" w14:textId="77777777" w:rsidR="005A676E" w:rsidRPr="00595E81" w:rsidRDefault="00E95A64" w:rsidP="00E95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i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1717" w:type="dxa"/>
          </w:tcPr>
          <w:p w14:paraId="47F795B5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14:paraId="00371880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14:paraId="5CB38E83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14:paraId="6F6F1147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14:paraId="12F6C948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95A64" w:rsidRPr="00595E81" w14:paraId="5E82BEFD" w14:textId="77777777" w:rsidTr="003F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7CD74D59" w14:textId="77777777" w:rsidR="005A676E" w:rsidRPr="00595E81" w:rsidRDefault="00E95A64" w:rsidP="00E95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Third Quarter: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t>July</w:t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br/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>to</w:t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t xml:space="preserve"> September</w:t>
            </w:r>
          </w:p>
        </w:tc>
        <w:tc>
          <w:tcPr>
            <w:tcW w:w="1717" w:type="dxa"/>
          </w:tcPr>
          <w:p w14:paraId="6ABF43B2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14:paraId="4694E0F3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14:paraId="5886A996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14:paraId="4124BB21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14:paraId="392BC073" w14:textId="77777777"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95A64" w:rsidRPr="00595E81" w14:paraId="498D52E5" w14:textId="77777777" w:rsidTr="003F6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14:paraId="58E5C720" w14:textId="77777777" w:rsidR="00E95A64" w:rsidRPr="00595E81" w:rsidRDefault="00E95A64" w:rsidP="00E95A64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Fourth Quarter: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t>October</w:t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br/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>to</w:t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t xml:space="preserve"> December</w:t>
            </w:r>
          </w:p>
        </w:tc>
        <w:tc>
          <w:tcPr>
            <w:tcW w:w="1717" w:type="dxa"/>
          </w:tcPr>
          <w:p w14:paraId="021500F4" w14:textId="77777777" w:rsidR="00E95A64" w:rsidRPr="00595E81" w:rsidRDefault="00E95A64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14:paraId="7AD23A73" w14:textId="77777777" w:rsidR="00E95A64" w:rsidRPr="00595E81" w:rsidRDefault="00E95A64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14:paraId="6E193541" w14:textId="77777777" w:rsidR="00E95A64" w:rsidRPr="00595E81" w:rsidRDefault="00E95A64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14:paraId="581CE989" w14:textId="77777777" w:rsidR="00E95A64" w:rsidRPr="00595E81" w:rsidRDefault="00E95A64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14:paraId="68380E66" w14:textId="77777777" w:rsidR="00E95A64" w:rsidRPr="00595E81" w:rsidRDefault="00E95A64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DB1EDFD" w14:textId="77777777" w:rsidR="00B023C2" w:rsidRPr="00B023C2" w:rsidRDefault="005C06F9" w:rsidP="00434EE9">
      <w:pPr>
        <w:spacing w:after="0" w:line="240" w:lineRule="auto"/>
      </w:pPr>
      <w:r>
        <w:t>Abbreviations: RD = resident-day; DOT = days of therapy</w:t>
      </w:r>
      <w:r w:rsidR="00434EE9">
        <w:t xml:space="preserve">; UTI = urinary tract infection; SSTI = skin and soft tissue infection; ARI = acute respiratory infection </w:t>
      </w:r>
    </w:p>
    <w:p w14:paraId="3E03D1BC" w14:textId="77777777" w:rsidR="00B023C2" w:rsidRDefault="00B023C2" w:rsidP="00B023C2">
      <w:pPr>
        <w:rPr>
          <w:b/>
          <w:sz w:val="28"/>
          <w:szCs w:val="28"/>
        </w:rPr>
      </w:pPr>
    </w:p>
    <w:sectPr w:rsidR="00B02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F302" w14:textId="77777777" w:rsidR="006517C9" w:rsidRDefault="006517C9" w:rsidP="006517C9">
      <w:pPr>
        <w:spacing w:after="0" w:line="240" w:lineRule="auto"/>
      </w:pPr>
      <w:r>
        <w:separator/>
      </w:r>
    </w:p>
  </w:endnote>
  <w:endnote w:type="continuationSeparator" w:id="0">
    <w:p w14:paraId="469D0B7B" w14:textId="77777777" w:rsidR="006517C9" w:rsidRDefault="006517C9" w:rsidP="0065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8C2E" w14:textId="77777777" w:rsidR="00D209F6" w:rsidRDefault="00D2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477B" w14:textId="77777777" w:rsidR="00591069" w:rsidRDefault="00E95A64" w:rsidP="00D440A4">
    <w:pPr>
      <w:ind w:right="-720"/>
      <w:jc w:val="right"/>
    </w:pPr>
    <w:r w:rsidRPr="006176F5">
      <w:rPr>
        <w:noProof/>
      </w:rPr>
      <w:drawing>
        <wp:anchor distT="0" distB="0" distL="114300" distR="114300" simplePos="0" relativeHeight="251659264" behindDoc="0" locked="0" layoutInCell="1" allowOverlap="1" wp14:anchorId="3E3F1D4C" wp14:editId="1653C8A0">
          <wp:simplePos x="0" y="0"/>
          <wp:positionH relativeFrom="column">
            <wp:posOffset>5319423</wp:posOffset>
          </wp:positionH>
          <wp:positionV relativeFrom="paragraph">
            <wp:posOffset>-174928</wp:posOffset>
          </wp:positionV>
          <wp:extent cx="1143000" cy="539496"/>
          <wp:effectExtent l="0" t="0" r="0" b="0"/>
          <wp:wrapNone/>
          <wp:docPr id="2" name="Picture 2" descr="C:\Users\pchung\AppData\Local\Temp\Temp2_Final Logo Files.zip\Final Logo Files\ASAP\AS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hung\AppData\Local\Temp\Temp2_Final Logo Files.zip\Final Logo Files\ASAP\AS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6685" w:rsidRPr="00526685">
      <w:rPr>
        <w:rFonts w:ascii="Elephant" w:eastAsia="Calibri" w:hAnsi="Elephant" w:cs="Times New Roman"/>
        <w:sz w:val="56"/>
        <w:szCs w:val="5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E374" w14:textId="77777777" w:rsidR="00D209F6" w:rsidRDefault="00D2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F66F" w14:textId="77777777" w:rsidR="006517C9" w:rsidRDefault="006517C9" w:rsidP="006517C9">
      <w:pPr>
        <w:spacing w:after="0" w:line="240" w:lineRule="auto"/>
      </w:pPr>
      <w:r>
        <w:separator/>
      </w:r>
    </w:p>
  </w:footnote>
  <w:footnote w:type="continuationSeparator" w:id="0">
    <w:p w14:paraId="1E247D8C" w14:textId="77777777" w:rsidR="006517C9" w:rsidRDefault="006517C9" w:rsidP="0065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4FFD" w14:textId="77777777" w:rsidR="00D209F6" w:rsidRDefault="00D2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2587" w14:textId="77777777" w:rsidR="006517C9" w:rsidRPr="006517C9" w:rsidRDefault="006517C9">
    <w:pPr>
      <w:pStyle w:val="Header"/>
      <w:rPr>
        <w:b/>
      </w:rPr>
    </w:pPr>
    <w:r w:rsidRPr="006517C9">
      <w:rPr>
        <w:b/>
      </w:rPr>
      <w:t>Antibiotic Use Summary Report</w:t>
    </w:r>
  </w:p>
  <w:p w14:paraId="1A5CAA4D" w14:textId="77777777" w:rsidR="006517C9" w:rsidRDefault="00651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407A" w14:textId="77777777" w:rsidR="00D209F6" w:rsidRDefault="00D20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NTYxNLAwszAzNjVX0lEKTi0uzszPAykwqgUAaoFwjCwAAAA="/>
  </w:docVars>
  <w:rsids>
    <w:rsidRoot w:val="005C6E18"/>
    <w:rsid w:val="0009191D"/>
    <w:rsid w:val="00091EC8"/>
    <w:rsid w:val="00216AC4"/>
    <w:rsid w:val="003F610F"/>
    <w:rsid w:val="00434EE9"/>
    <w:rsid w:val="004F086D"/>
    <w:rsid w:val="00526685"/>
    <w:rsid w:val="00591069"/>
    <w:rsid w:val="00595E81"/>
    <w:rsid w:val="005A676E"/>
    <w:rsid w:val="005C06F9"/>
    <w:rsid w:val="005C6E18"/>
    <w:rsid w:val="006517C9"/>
    <w:rsid w:val="007748D0"/>
    <w:rsid w:val="00844AD4"/>
    <w:rsid w:val="00920C7C"/>
    <w:rsid w:val="00937A01"/>
    <w:rsid w:val="009958F8"/>
    <w:rsid w:val="00B023C2"/>
    <w:rsid w:val="00B44488"/>
    <w:rsid w:val="00B61B86"/>
    <w:rsid w:val="00CE522E"/>
    <w:rsid w:val="00D1236C"/>
    <w:rsid w:val="00D209F6"/>
    <w:rsid w:val="00D440A4"/>
    <w:rsid w:val="00DC1CAE"/>
    <w:rsid w:val="00E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E54300"/>
  <w15:chartTrackingRefBased/>
  <w15:docId w15:val="{51D99AA4-1F79-4122-A1BF-E3F4876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C9"/>
  </w:style>
  <w:style w:type="paragraph" w:styleId="Footer">
    <w:name w:val="footer"/>
    <w:basedOn w:val="Normal"/>
    <w:link w:val="FooterChar"/>
    <w:uiPriority w:val="99"/>
    <w:unhideWhenUsed/>
    <w:rsid w:val="006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C9"/>
  </w:style>
  <w:style w:type="table" w:styleId="TableGrid">
    <w:name w:val="Table Grid"/>
    <w:basedOn w:val="TableNormal"/>
    <w:uiPriority w:val="39"/>
    <w:rsid w:val="0077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748D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748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C0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C06F9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595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1523989-75D9-458B-8118-20DE787C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Cindy Fronning</cp:lastModifiedBy>
  <cp:revision>2</cp:revision>
  <dcterms:created xsi:type="dcterms:W3CDTF">2022-08-01T22:36:00Z</dcterms:created>
  <dcterms:modified xsi:type="dcterms:W3CDTF">2022-08-01T22:36:00Z</dcterms:modified>
</cp:coreProperties>
</file>